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pPr>
      <w:r/>
    </w:p>
    <w:p>
      <w:pPr>
        <w:pStyle w:val="TextBody"/>
        <w:bidi w:val="0"/>
        <w:spacing w:before="120" w:after="283"/>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1-8729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UNISYS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0" w:type="dxa"/>
        <w:jc w:val="left"/>
        <w:tblInd w:w="0" w:type="dxa"/>
        <w:tblLayout w:type="fixed"/>
        <w:tblCellMar>
          <w:top w:w="28" w:type="dxa"/>
          <w:left w:w="28" w:type="dxa"/>
          <w:bottom w:w="28" w:type="dxa"/>
          <w:right w:w="28" w:type="dxa"/>
        </w:tblCellMar>
      </w:tblPr>
      <w:tblGrid>
        <w:gridCol w:w="807"/>
        <w:gridCol w:w="708"/>
        <w:gridCol w:w="719"/>
        <w:gridCol w:w="109"/>
        <w:gridCol w:w="109"/>
        <w:gridCol w:w="109"/>
        <w:gridCol w:w="420"/>
        <w:gridCol w:w="420"/>
        <w:gridCol w:w="599"/>
      </w:tblGrid>
      <w:t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38-0387840</w:t>
            </w:r>
          </w:p>
        </w:tc>
      </w:tr>
      <w:t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801 Lakeview Drive, Suite 100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Blue Bell, Pennsylvania 19422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60" w:after="283"/>
        <w:jc w:val="center"/>
      </w:pPr>
      <w:r>
        <w:rPr>
          <w:rFonts w:ascii="Times New Roman;serif" w:hAnsi="Times New Roman;serif"/>
          <w:b/>
          <w:color w:val="000000"/>
          <w:sz w:val="20"/>
        </w:rPr>
        <w:t>(215) 986-4011</w:t>
      </w:r>
      <w:r>
        <w:rPr>
          <w:color w:val="000000"/>
        </w:rPr>
        <w:t>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4440" w:type="dxa"/>
        <w:jc w:val="center"/>
        <w:tblInd w:w="0" w:type="dxa"/>
        <w:tblLayout w:type="fixed"/>
        <w:tblCellMar>
          <w:top w:w="28" w:type="dxa"/>
          <w:left w:w="28" w:type="dxa"/>
          <w:bottom w:w="28" w:type="dxa"/>
          <w:right w:w="28" w:type="dxa"/>
        </w:tblCellMar>
      </w:tblPr>
      <w:tblGrid>
        <w:gridCol w:w="1419"/>
        <w:gridCol w:w="1247"/>
        <w:gridCol w:w="1774"/>
      </w:tblGrid>
      <w:t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58" w:type="dxa"/>
        <w:jc w:val="center"/>
        <w:tblInd w:w="0" w:type="dxa"/>
        <w:tblLayout w:type="fixed"/>
        <w:tblCellMar>
          <w:top w:w="28" w:type="dxa"/>
          <w:left w:w="28" w:type="dxa"/>
          <w:bottom w:w="28" w:type="dxa"/>
          <w:right w:w="28" w:type="dxa"/>
        </w:tblCellMar>
      </w:tblPr>
      <w:tblGrid>
        <w:gridCol w:w="950"/>
        <w:gridCol w:w="832"/>
        <w:gridCol w:w="842"/>
        <w:gridCol w:w="309"/>
        <w:gridCol w:w="309"/>
        <w:gridCol w:w="311"/>
        <w:gridCol w:w="1085"/>
        <w:gridCol w:w="1085"/>
        <w:gridCol w:w="1535"/>
      </w:tblGrid>
      <w:t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26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w:t>
            </w:r>
          </w:p>
        </w:tc>
        <w:tc>
          <w:tcPr>
            <w:tcW w:w="9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UIS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ind w:left="0" w:right="0" w:firstLine="495"/>
        <w:jc w:val="left"/>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495"/>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50"/>
        <w:jc w:val="left"/>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Number of shares of Unisys Common Stock, par value $.01, outstanding as of September 30, 2026: 72,933,732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835" w:type="dxa"/>
        <w:jc w:val="center"/>
        <w:tblInd w:w="0" w:type="dxa"/>
        <w:tblLayout w:type="fixed"/>
        <w:tblCellMar>
          <w:top w:w="28" w:type="dxa"/>
          <w:left w:w="28" w:type="dxa"/>
          <w:bottom w:w="28" w:type="dxa"/>
          <w:right w:w="28" w:type="dxa"/>
        </w:tblCellMar>
      </w:tblPr>
      <w:tblGrid>
        <w:gridCol w:w="304"/>
        <w:gridCol w:w="266"/>
        <w:gridCol w:w="269"/>
        <w:gridCol w:w="2453"/>
        <w:gridCol w:w="2453"/>
        <w:gridCol w:w="2458"/>
        <w:gridCol w:w="109"/>
        <w:gridCol w:w="109"/>
        <w:gridCol w:w="109"/>
        <w:gridCol w:w="382"/>
        <w:gridCol w:w="382"/>
        <w:gridCol w:w="541"/>
      </w:tblGrid>
      <w:t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Concerning Forward-Looking Statements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pPr>
            <w:hyperlink w:anchor="i1a940b9b661442ea977b15e0b1dd4797_10">
              <w:r>
                <w:rPr>
                  <w:rStyle w:val="InternetLink"/>
                  <w:rFonts w:ascii="Times New Roman;serif" w:hAnsi="Times New Roman;serif"/>
                  <w:b w:val="false"/>
                  <w:color w:val="0000FF"/>
                  <w:sz w:val="20"/>
                  <w:u w:val="single"/>
                </w:rPr>
                <w:t>2</w:t>
              </w:r>
            </w:hyperlink>
          </w:p>
        </w:tc>
      </w:tr>
      <w:tr>
        <w:tc>
          <w:tcPr>
            <w:tcW w:w="82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9">
              <w:r>
                <w:rPr>
                  <w:rStyle w:val="InternetLink"/>
                  <w:rFonts w:ascii="Times New Roman;serif" w:hAnsi="Times New Roman;serif"/>
                  <w:b w:val="false"/>
                  <w:color w:val="0000FF"/>
                  <w:sz w:val="20"/>
                  <w:u w:val="single"/>
                </w:rPr>
                <w:t>4</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22">
              <w:r>
                <w:rPr>
                  <w:rStyle w:val="InternetLink"/>
                  <w:rFonts w:ascii="Times New Roman;serif" w:hAnsi="Times New Roman;serif"/>
                  <w:b w:val="false"/>
                  <w:color w:val="0000FF"/>
                  <w:sz w:val="20"/>
                  <w:u w:val="single"/>
                </w:rPr>
                <w:t>5</w:t>
              </w:r>
            </w:hyperlink>
          </w:p>
        </w:tc>
      </w:tr>
      <w:t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25">
              <w:r>
                <w:rPr>
                  <w:rStyle w:val="InternetLink"/>
                  <w:rFonts w:ascii="Times New Roman;serif" w:hAnsi="Times New Roman;serif"/>
                  <w:b w:val="false"/>
                  <w:color w:val="0000FF"/>
                  <w:sz w:val="20"/>
                  <w:u w:val="single"/>
                </w:rPr>
                <w:t>6</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28">
              <w:r>
                <w:rPr>
                  <w:rStyle w:val="InternetLink"/>
                  <w:rFonts w:ascii="Times New Roman;serif" w:hAnsi="Times New Roman;serif"/>
                  <w:b w:val="false"/>
                  <w:color w:val="0000FF"/>
                  <w:sz w:val="20"/>
                  <w:u w:val="single"/>
                </w:rPr>
                <w:t>7</w:t>
              </w:r>
            </w:hyperlink>
          </w:p>
        </w:tc>
      </w:tr>
      <w:t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31">
              <w:r>
                <w:rPr>
                  <w:rStyle w:val="InternetLink"/>
                  <w:rFonts w:ascii="Times New Roman;serif" w:hAnsi="Times New Roman;serif"/>
                  <w:b w:val="false"/>
                  <w:color w:val="0000FF"/>
                  <w:sz w:val="20"/>
                  <w:u w:val="single"/>
                </w:rPr>
                <w:t>8</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34">
              <w:r>
                <w:rPr>
                  <w:rStyle w:val="InternetLink"/>
                  <w:rFonts w:ascii="Times New Roman;serif" w:hAnsi="Times New Roman;serif"/>
                  <w:b w:val="false"/>
                  <w:color w:val="0000FF"/>
                  <w:sz w:val="20"/>
                  <w:u w:val="single"/>
                </w:rPr>
                <w:t>9</w:t>
              </w:r>
            </w:hyperlink>
          </w:p>
        </w:tc>
      </w:tr>
      <w:t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97">
              <w:r>
                <w:rPr>
                  <w:rStyle w:val="InternetLink"/>
                  <w:rFonts w:ascii="Times New Roman;serif" w:hAnsi="Times New Roman;serif"/>
                  <w:b w:val="false"/>
                  <w:color w:val="0000FF"/>
                  <w:sz w:val="20"/>
                  <w:u w:val="single"/>
                </w:rPr>
                <w:t>24</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12">
              <w:r>
                <w:rPr>
                  <w:rStyle w:val="InternetLink"/>
                  <w:rFonts w:ascii="Times New Roman;serif" w:hAnsi="Times New Roman;serif"/>
                  <w:b w:val="false"/>
                  <w:color w:val="0000FF"/>
                  <w:sz w:val="20"/>
                  <w:u w:val="single"/>
                </w:rPr>
                <w:t>33</w:t>
              </w:r>
            </w:hyperlink>
          </w:p>
        </w:tc>
      </w:tr>
      <w:t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15">
              <w:r>
                <w:rPr>
                  <w:rStyle w:val="InternetLink"/>
                  <w:rFonts w:ascii="Times New Roman;serif" w:hAnsi="Times New Roman;serif"/>
                  <w:b w:val="false"/>
                  <w:color w:val="0000FF"/>
                  <w:sz w:val="20"/>
                  <w:u w:val="single"/>
                </w:rPr>
                <w:t>33</w:t>
              </w:r>
            </w:hyperlink>
          </w:p>
        </w:tc>
      </w:tr>
      <w:tr>
        <w:tc>
          <w:tcPr>
            <w:tcW w:w="98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r>
      <w:tr>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pPr>
            <w:hyperlink w:anchor="i1a940b9b661442ea977b15e0b1dd4797_121">
              <w:r>
                <w:rPr>
                  <w:rStyle w:val="InternetLink"/>
                  <w:rFonts w:ascii="Times New Roman;serif" w:hAnsi="Times New Roman;serif"/>
                  <w:b w:val="false"/>
                  <w:color w:val="0000FF"/>
                  <w:sz w:val="20"/>
                  <w:u w:val="single"/>
                </w:rPr>
                <w:t>34</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24">
              <w:r>
                <w:rPr>
                  <w:rStyle w:val="InternetLink"/>
                  <w:rFonts w:ascii="Times New Roman;serif" w:hAnsi="Times New Roman;serif"/>
                  <w:b w:val="false"/>
                  <w:color w:val="0000FF"/>
                  <w:sz w:val="20"/>
                  <w:u w:val="single"/>
                </w:rPr>
                <w:t>34</w:t>
              </w:r>
            </w:hyperlink>
          </w:p>
        </w:tc>
      </w:tr>
      <w:t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27">
              <w:r>
                <w:rPr>
                  <w:rStyle w:val="InternetLink"/>
                  <w:rFonts w:ascii="Times New Roman;serif" w:hAnsi="Times New Roman;serif"/>
                  <w:b w:val="false"/>
                  <w:color w:val="0000FF"/>
                  <w:sz w:val="20"/>
                  <w:u w:val="single"/>
                </w:rPr>
                <w:t>34</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30">
              <w:r>
                <w:rPr>
                  <w:rStyle w:val="InternetLink"/>
                  <w:rFonts w:ascii="Times New Roman;serif" w:hAnsi="Times New Roman;serif"/>
                  <w:b w:val="false"/>
                  <w:color w:val="0000FF"/>
                  <w:sz w:val="20"/>
                  <w:u w:val="single"/>
                </w:rPr>
                <w:t>34</w:t>
              </w:r>
            </w:hyperlink>
          </w:p>
        </w:tc>
      </w:tr>
      <w:t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33">
              <w:r>
                <w:rPr>
                  <w:rStyle w:val="InternetLink"/>
                  <w:rFonts w:ascii="Times New Roman;serif" w:hAnsi="Times New Roman;serif"/>
                  <w:b w:val="false"/>
                  <w:color w:val="0000FF"/>
                  <w:sz w:val="20"/>
                  <w:u w:val="single"/>
                </w:rPr>
                <w:t>34</w:t>
              </w:r>
            </w:hyperlink>
          </w:p>
        </w:tc>
      </w:tr>
      <w:t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36">
              <w:r>
                <w:rPr>
                  <w:rStyle w:val="InternetLink"/>
                  <w:rFonts w:ascii="Times New Roman;serif" w:hAnsi="Times New Roman;serif"/>
                  <w:b w:val="false"/>
                  <w:color w:val="0000FF"/>
                  <w:sz w:val="20"/>
                  <w:u w:val="single"/>
                </w:rPr>
                <w:t>35</w:t>
              </w:r>
            </w:hyperlink>
          </w:p>
        </w:tc>
      </w:tr>
      <w:tr>
        <w:tc>
          <w:tcPr>
            <w:tcW w:w="82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hyperlink w:anchor="i1a940b9b661442ea977b15e0b1dd4797_139">
              <w:r>
                <w:rPr>
                  <w:rStyle w:val="InternetLink"/>
                  <w:rFonts w:ascii="Times New Roman;serif" w:hAnsi="Times New Roman;serif"/>
                  <w:b w:val="false"/>
                  <w:color w:val="0000FF"/>
                  <w:sz w:val="20"/>
                  <w:u w:val="single"/>
                </w:rPr>
                <w:t>36</w:t>
              </w:r>
            </w:hyperlink>
          </w:p>
        </w:tc>
      </w:tr>
    </w:tbl>
    <w:p>
      <w:pPr>
        <w:pStyle w:val="TextBody"/>
        <w:bidi w:val="0"/>
        <w:spacing w:before="12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INFORMATION CONCERNING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in this report, including, without limitation, statements as to management expectations, assumptions and beliefs presented in Part I, Item 2. “Management's Discussion and Analysis of Financial Condition and Results of Operations,” Part I, Item 3. “Quantitative and Qualitative Disclosures About Market Risk,” Part II, Item 1. “Legal Proceedings” and in the notes to the financial statements are forward-looking statements within the meaning of Section 27A of the Securities Act of 1933, as amended, Section 21E of the Securities Exchange Act of 1934, as amended, and the Private Securities Litigation Reform Act of 1995.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on us. There can be no assurance that future developments will be in accordance with management's expectations, assumptions or beliefs, or that the effect of future developments on us will be those anticipated by management. Because actual results may differ materially from those expressed or implied by these forward-looking statements, we caution readers not to place undue reliance on these statements. Any forward-looking statement speaks only as of the date on which that statement is made. The company assumes no obligation to update any forward-looking statement to reflect events or circumstances that occur after the date on which the statement is made, except as required by applicable law.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factors that could cause actual results to differ materially from our expectations, assumptions and beliefs include, but are not limited to, those discussed in Item 1A. Risk Factors of our Annual Report on Form 10-K for the fiscal year ended December 31, 2025, as summarized below, our ability to:</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Business and Operating</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maintain our installed base and sell new solutions and related services;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 xml:space="preserve">grow revenue, expand profit margin and generate sufficient cash flows in our businesses;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effectively anticipate and respond to rapid technological innovation, such as artificial intelligence among others, in our industry;</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manage cybersecurity incidents, security incidents and breaches and other disruptions in our IT systems;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adapt to the adverse effects of volatile, negative or uncertain economic, geopolitical and political conditions, as well as acts of war, terrorism, natural disasters or the widespread outbreak of infectious diseases;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work with government and public sector clients and additional risks inherent in the government contracting and public sector environment;</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 xml:space="preserve">respond to the potential adverse effects of aggressive competition;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attract, retain, and develop skilled employees to align with global client demand and retain and develop strong leaders;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 xml:space="preserve">achieve expected profitability or expected level of revenue from our commercial contracts;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 xml:space="preserve">manage the pricing, performance and capabilities of third parties with whom we have commercial relationships;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meet our underfunded defined benefit pension plan obligations;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maintain our credit rating or access financing markets;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comply with the terms of the credit agreement that governs the Amended and Restated Asset Based Lending Credit Facility and the 10.625% Senior Secured Notes due 2031 indenture;</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 xml:space="preserve">protect or enforce our intellectual property rights and defend against infringement claims; </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adapt to an evolving international trade and tariff environment;</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manage the business and financial risk in the completion of acquisitions or dispositions;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Legal and Regulatory</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comply with global legal and regulatory requirements;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manage the legal risks related to artificial intelligence and other machine learning technology that are integrated into our services and solutions;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manage exposure to legal proceedings, investigations, compliance and environmental matters;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meet global sustainability standards and expectations, achieve our sustainability goals and comply with sustainability laws and regulations;</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maintain an effective system of internal controls over financial reporting and disclosure controls and procedures;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3260"/>
                <wp:effectExtent l="0" t="0" r="0" b="0"/>
                <wp:wrapNone/>
                <wp:docPr id="3" name="Frame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Accounting</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mitigate a decrease in the value of our assets and an impairment of goodwill or intangible assets; and</w:t>
      </w:r>
    </w:p>
    <w:p>
      <w:pPr>
        <w:pStyle w:val="TextBody"/>
        <w:bidi w:val="0"/>
        <w:spacing w:lineRule="auto" w:line="288" w:before="100" w:after="283"/>
        <w:ind w:left="0" w:right="0" w:hanging="360"/>
        <w:jc w:val="left"/>
      </w:pPr>
      <w:r>
        <w:rPr>
          <w:color w:val="000000"/>
        </w:rPr>
        <w:t>•</w:t>
      </w:r>
      <w:r>
        <w:rPr>
          <w:rFonts w:ascii="Times New Roman;serif" w:hAnsi="Times New Roman;serif"/>
          <w:b w:val="false"/>
          <w:color w:val="000000"/>
          <w:sz w:val="20"/>
        </w:rPr>
        <w:t>use our net operating loss carryforwards and certain other tax attributes.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factors discussed in this report, although not listed here, also could materially affect our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4" name="Frame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Item 1. Financial Statements</w:t>
      </w:r>
    </w:p>
    <w:p>
      <w:pPr>
        <w:pStyle w:val="TextBody"/>
        <w:bidi w:val="0"/>
        <w:spacing w:before="12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INCOME (LOSS)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 except per share data)</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87"/>
        <w:gridCol w:w="1478"/>
        <w:gridCol w:w="1494"/>
        <w:gridCol w:w="109"/>
        <w:gridCol w:w="109"/>
        <w:gridCol w:w="109"/>
        <w:gridCol w:w="211"/>
        <w:gridCol w:w="689"/>
        <w:gridCol w:w="109"/>
        <w:gridCol w:w="109"/>
        <w:gridCol w:w="109"/>
        <w:gridCol w:w="109"/>
        <w:gridCol w:w="211"/>
        <w:gridCol w:w="689"/>
        <w:gridCol w:w="109"/>
        <w:gridCol w:w="109"/>
        <w:gridCol w:w="109"/>
        <w:gridCol w:w="109"/>
        <w:gridCol w:w="211"/>
        <w:gridCol w:w="766"/>
        <w:gridCol w:w="109"/>
        <w:gridCol w:w="109"/>
        <w:gridCol w:w="109"/>
        <w:gridCol w:w="109"/>
        <w:gridCol w:w="211"/>
        <w:gridCol w:w="766"/>
        <w:gridCol w:w="157"/>
      </w:tblGrid>
      <w:tr>
        <w:tc>
          <w:tcPr>
            <w:tcW w:w="168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pStyle w:val="TextBody"/>
        <w:bidi w:val="0"/>
        <w:spacing w:before="6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COMPREHENSIVE INCOME (LOSS)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41"/>
        <w:gridCol w:w="1540"/>
        <w:gridCol w:w="1548"/>
        <w:gridCol w:w="109"/>
        <w:gridCol w:w="109"/>
        <w:gridCol w:w="109"/>
        <w:gridCol w:w="211"/>
        <w:gridCol w:w="660"/>
        <w:gridCol w:w="109"/>
        <w:gridCol w:w="109"/>
        <w:gridCol w:w="109"/>
        <w:gridCol w:w="109"/>
        <w:gridCol w:w="211"/>
        <w:gridCol w:w="660"/>
        <w:gridCol w:w="109"/>
        <w:gridCol w:w="109"/>
        <w:gridCol w:w="109"/>
        <w:gridCol w:w="109"/>
        <w:gridCol w:w="211"/>
        <w:gridCol w:w="660"/>
        <w:gridCol w:w="109"/>
        <w:gridCol w:w="109"/>
        <w:gridCol w:w="109"/>
        <w:gridCol w:w="109"/>
        <w:gridCol w:w="211"/>
        <w:gridCol w:w="660"/>
        <w:gridCol w:w="157"/>
      </w:tblGrid>
      <w:tr>
        <w:tc>
          <w:tcPr>
            <w:tcW w:w="184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4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c>
          <w:tcPr>
            <w:tcW w:w="4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adjustments, net of tax of $0.2 and $5.7 in 2026 and $5.0 and $(10.7)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260"/>
                <wp:effectExtent l="0" t="0" r="0" b="0"/>
                <wp:wrapNone/>
                <wp:docPr id="6" name="Frame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CONSOLIDATED BALANCE SHEETS (Unaudited)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tbl>
      <w:tblPr>
        <w:tblW w:w="10205" w:type="dxa"/>
        <w:jc w:val="center"/>
        <w:tblInd w:w="0" w:type="dxa"/>
        <w:tblLayout w:type="fixed"/>
        <w:tblCellMar>
          <w:top w:w="28" w:type="dxa"/>
          <w:left w:w="28" w:type="dxa"/>
          <w:bottom w:w="28" w:type="dxa"/>
          <w:right w:w="28" w:type="dxa"/>
        </w:tblCellMar>
      </w:tblPr>
      <w:tblGrid>
        <w:gridCol w:w="2465"/>
        <w:gridCol w:w="2107"/>
        <w:gridCol w:w="2106"/>
        <w:gridCol w:w="309"/>
        <w:gridCol w:w="1124"/>
        <w:gridCol w:w="159"/>
        <w:gridCol w:w="109"/>
        <w:gridCol w:w="109"/>
        <w:gridCol w:w="109"/>
        <w:gridCol w:w="299"/>
        <w:gridCol w:w="1085"/>
        <w:gridCol w:w="224"/>
      </w:tblGrid>
      <w:tr>
        <w:tc>
          <w:tcPr>
            <w:tcW w:w="246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c>
          <w:tcPr>
            <w:tcW w:w="667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costs, net</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software, net</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and postretirement assets</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pension and postretirement liabilities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14)</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Deficit:</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Issued: September 30, 2026 - 80.2 shares and December 31, 2025 - 78.1 shares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shares at cost; September 30, 2026 - 7.3 shares and December 31, 2025 - 6.7 shares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Unisys Corporation stockholders' deficit</w:t>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deficit</w:t>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deficit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90"/>
        <w:jc w:val="left"/>
      </w:pPr>
      <w:r/>
    </w:p>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83260"/>
                <wp:effectExtent l="0" t="0" r="0" b="0"/>
                <wp:wrapNone/>
                <wp:docPr id="7" name="Frame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CONSOLIDATED STATEMENTS OF CASH FLOWS (Unaudited)</w:t>
      </w:r>
    </w:p>
    <w:p>
      <w:pPr>
        <w:pStyle w:val="TextBody"/>
        <w:bidi w:val="0"/>
        <w:spacing w:lineRule="auto" w:line="288" w:before="60" w:after="283"/>
        <w:jc w:val="center"/>
      </w:pPr>
      <w:r>
        <w:rPr>
          <w:rFonts w:ascii="Times New Roman;serif" w:hAnsi="Times New Roman;serif"/>
          <w:b/>
          <w:color w:val="000000"/>
          <w:sz w:val="24"/>
        </w:rPr>
        <w:t>(Millions)</w:t>
      </w:r>
      <w:r>
        <w:rPr>
          <w:color w:val="000000"/>
        </w:rPr>
        <w:t> </w:t>
      </w:r>
    </w:p>
    <w:tbl>
      <w:tblPr>
        <w:tblW w:w="9906" w:type="dxa"/>
        <w:jc w:val="left"/>
        <w:tblInd w:w="0" w:type="dxa"/>
        <w:tblLayout w:type="fixed"/>
        <w:tblCellMar>
          <w:top w:w="28" w:type="dxa"/>
          <w:left w:w="28" w:type="dxa"/>
          <w:bottom w:w="28" w:type="dxa"/>
          <w:right w:w="28" w:type="dxa"/>
        </w:tblCellMar>
      </w:tblPr>
      <w:tblGrid>
        <w:gridCol w:w="2597"/>
        <w:gridCol w:w="2286"/>
        <w:gridCol w:w="2302"/>
        <w:gridCol w:w="109"/>
        <w:gridCol w:w="109"/>
        <w:gridCol w:w="109"/>
        <w:gridCol w:w="211"/>
        <w:gridCol w:w="691"/>
        <w:gridCol w:w="109"/>
        <w:gridCol w:w="109"/>
        <w:gridCol w:w="109"/>
        <w:gridCol w:w="109"/>
        <w:gridCol w:w="211"/>
        <w:gridCol w:w="691"/>
        <w:gridCol w:w="154"/>
      </w:tblGrid>
      <w:t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consolidated net loss to 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capitalized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 and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additions of properties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relating to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3260"/>
                <wp:effectExtent l="0" t="0" r="0" b="0"/>
                <wp:wrapNone/>
                <wp:docPr id="8" name="Frame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EQUITY (DEFICIT)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tbl>
      <w:tblPr>
        <w:tblW w:w="11790" w:type="dxa"/>
        <w:jc w:val="center"/>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571"/>
        <w:gridCol w:w="109"/>
        <w:gridCol w:w="109"/>
        <w:gridCol w:w="109"/>
        <w:gridCol w:w="109"/>
        <w:gridCol w:w="211"/>
        <w:gridCol w:w="616"/>
        <w:gridCol w:w="119"/>
        <w:gridCol w:w="109"/>
        <w:gridCol w:w="109"/>
        <w:gridCol w:w="109"/>
        <w:gridCol w:w="220"/>
        <w:gridCol w:w="422"/>
        <w:gridCol w:w="124"/>
        <w:gridCol w:w="109"/>
        <w:gridCol w:w="109"/>
        <w:gridCol w:w="109"/>
        <w:gridCol w:w="209"/>
        <w:gridCol w:w="754"/>
        <w:gridCol w:w="118"/>
        <w:gridCol w:w="109"/>
        <w:gridCol w:w="109"/>
        <w:gridCol w:w="109"/>
        <w:gridCol w:w="196"/>
        <w:gridCol w:w="571"/>
        <w:gridCol w:w="109"/>
        <w:gridCol w:w="109"/>
        <w:gridCol w:w="109"/>
        <w:gridCol w:w="109"/>
        <w:gridCol w:w="196"/>
        <w:gridCol w:w="691"/>
        <w:gridCol w:w="109"/>
        <w:gridCol w:w="109"/>
        <w:gridCol w:w="109"/>
        <w:gridCol w:w="109"/>
        <w:gridCol w:w="241"/>
        <w:gridCol w:w="870"/>
        <w:gridCol w:w="135"/>
        <w:gridCol w:w="109"/>
        <w:gridCol w:w="109"/>
        <w:gridCol w:w="109"/>
        <w:gridCol w:w="306"/>
        <w:gridCol w:w="728"/>
        <w:gridCol w:w="242"/>
      </w:tblGrid>
      <w:t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(2,246.2)</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pPr>
      <w:r/>
    </w:p>
    <w:tbl>
      <w:tblPr>
        <w:tblW w:w="11790"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571"/>
        <w:gridCol w:w="109"/>
        <w:gridCol w:w="109"/>
        <w:gridCol w:w="109"/>
        <w:gridCol w:w="109"/>
        <w:gridCol w:w="211"/>
        <w:gridCol w:w="616"/>
        <w:gridCol w:w="119"/>
        <w:gridCol w:w="109"/>
        <w:gridCol w:w="109"/>
        <w:gridCol w:w="109"/>
        <w:gridCol w:w="220"/>
        <w:gridCol w:w="422"/>
        <w:gridCol w:w="124"/>
        <w:gridCol w:w="109"/>
        <w:gridCol w:w="109"/>
        <w:gridCol w:w="109"/>
        <w:gridCol w:w="209"/>
        <w:gridCol w:w="754"/>
        <w:gridCol w:w="118"/>
        <w:gridCol w:w="109"/>
        <w:gridCol w:w="109"/>
        <w:gridCol w:w="109"/>
        <w:gridCol w:w="196"/>
        <w:gridCol w:w="571"/>
        <w:gridCol w:w="109"/>
        <w:gridCol w:w="109"/>
        <w:gridCol w:w="109"/>
        <w:gridCol w:w="109"/>
        <w:gridCol w:w="196"/>
        <w:gridCol w:w="691"/>
        <w:gridCol w:w="109"/>
        <w:gridCol w:w="109"/>
        <w:gridCol w:w="109"/>
        <w:gridCol w:w="109"/>
        <w:gridCol w:w="241"/>
        <w:gridCol w:w="870"/>
        <w:gridCol w:w="135"/>
        <w:gridCol w:w="109"/>
        <w:gridCol w:w="109"/>
        <w:gridCol w:w="109"/>
        <w:gridCol w:w="306"/>
        <w:gridCol w:w="728"/>
        <w:gridCol w:w="242"/>
      </w:tblGrid>
      <w:t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83260"/>
                <wp:effectExtent l="0" t="0" r="0" b="0"/>
                <wp:wrapNone/>
                <wp:docPr id="9" name="Frame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NOTES TO CONSOLIDATED FINANCIAL STATEMENTS (Unaudited)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(Dollars in millions,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1 -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included in this Quarterly Report on Form 10-Q have been prepared pursuant to the rules and regulations of the U.S. Securities and Exchange Commission (SEC). These rules and regulations permit some of the information and footnote disclosures normally included in financial statements, prepared in accordance with generally accepted accounting principles in the United States of America (GAAP), to be condensed or omitted. In management’s opinion, the unaudited consolidated financial statements contain all adjustments that are of a normal recurring nature, necessary for a fair presentation of the results of operations and financial position of the company for the interim periods presented. These adjustments consist only of normal recurring accruals except as disclosed herein. Because of seasonal and other factors, results for interim periods are not necessarily indicative of the results to be expected for the full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unaudited consolidated financial statements should be read in conjunction with the audited consolidated financial statements for the fiscal year ended December 31, 2025 and the notes thereto included in the company’s Annual Report on Form 10-K, filed with the SEC.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capitalized contract costs assets, marketable software, goodwill, purchased intangibles and other long-lived assets, legal and environmental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Any changes in those estimates resulting from changes in the economic environment such as inflation, tariffs, trade policy, fluctuation in interest rates and foreign exchange rates and conflicts, wars and other events of geopolitical significance, will be reflected in the financial statements in future periods.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policies are set forth in detail in Note 1 of the Notes to Consolidated Financial Statements in the company’s Annual Report on Form 10-K for the year ended December 31, 2025 filed with the SEC. Such Annual Report also contains a discussion of the company’s critical accounting policies and estimates. The company believes that these critical accounting policies and estimates affect its more significant estimates and judgments used in the preparation of the company’s consolidated financial statements.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in the consolidated financial statements and accompanying notes have been reclassified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2 - Accounting Standards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left"/>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(ASU 2024-03) requiring additional disclosures about certain costs and expenses in the notes to the financial statements on an annual and interim basis. This update is effective for fiscal years beginning after December 15, 2026, and interim periods within fiscal years beginning after December 15, 2027, with early adoption permitted on either a prospective or retrospective basis. ASU 2024-03 is not expected to have a material effect on the company’s consolidated financial statements.</w:t>
      </w:r>
    </w:p>
    <w:p>
      <w:pPr>
        <w:pStyle w:val="TextBody"/>
        <w:bidi w:val="0"/>
        <w:spacing w:lineRule="auto" w:line="288" w:before="120" w:after="283"/>
        <w:jc w:val="left"/>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(ASU 2025-06), which simplifies the capitalization guidance for internal-use software costs by removing all references to software development project stages. ASU 2025-06 is effective for annual periods beginning after December 15, 2027, and interim periods within those annual reporting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83260"/>
                <wp:effectExtent l="0" t="0" r="0" b="0"/>
                <wp:wrapNone/>
                <wp:docPr id="10" name="Frame1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periods, with early adoption permitted on either a prospective, retrospective or a modified transition approach. The company is currently evaluating the impact of the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3 - Cost Reduction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from time to time initiates cost reduction actions designed to improve operating efficiency, reduce costs and align the company’s workforce and facility structures to its overall business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Cost-reduction charges (credits) and other costs recognized were as follows:</w:t>
      </w:r>
    </w:p>
    <w:tbl>
      <w:tblPr>
        <w:tblW w:w="9498" w:type="dxa"/>
        <w:jc w:val="left"/>
        <w:tblInd w:w="0" w:type="dxa"/>
        <w:tblLayout w:type="fixed"/>
        <w:tblCellMar>
          <w:top w:w="28" w:type="dxa"/>
          <w:left w:w="28" w:type="dxa"/>
          <w:bottom w:w="28" w:type="dxa"/>
          <w:right w:w="28" w:type="dxa"/>
        </w:tblCellMar>
      </w:tblPr>
      <w:tblGrid>
        <w:gridCol w:w="1276"/>
        <w:gridCol w:w="1123"/>
        <w:gridCol w:w="1126"/>
        <w:gridCol w:w="109"/>
        <w:gridCol w:w="109"/>
        <w:gridCol w:w="109"/>
        <w:gridCol w:w="316"/>
        <w:gridCol w:w="609"/>
        <w:gridCol w:w="163"/>
        <w:gridCol w:w="163"/>
        <w:gridCol w:w="163"/>
        <w:gridCol w:w="163"/>
        <w:gridCol w:w="316"/>
        <w:gridCol w:w="609"/>
        <w:gridCol w:w="163"/>
        <w:gridCol w:w="109"/>
        <w:gridCol w:w="109"/>
        <w:gridCol w:w="109"/>
        <w:gridCol w:w="290"/>
        <w:gridCol w:w="703"/>
        <w:gridCol w:w="150"/>
        <w:gridCol w:w="150"/>
        <w:gridCol w:w="150"/>
        <w:gridCol w:w="150"/>
        <w:gridCol w:w="290"/>
        <w:gridCol w:w="559"/>
        <w:gridCol w:w="212"/>
      </w:tblGrid>
      <w:t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30,</w:t>
            </w:r>
          </w:p>
        </w:tc>
      </w:tr>
      <w:t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workforce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abandonment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Asset impairment charges and write-offs </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pPr>
      <w:r>
        <w:rPr>
          <w:rFonts w:ascii="Times New Roman;serif" w:hAnsi="Times New Roman;serif"/>
          <w:b w:val="false"/>
          <w:color w:val="000000"/>
          <w:sz w:val="13"/>
        </w:rPr>
        <w:t>(i)</w:t>
      </w:r>
      <w:r>
        <w:rPr>
          <w:color w:val="000000"/>
        </w:rPr>
        <w:t xml:space="preserve"> </w:t>
      </w:r>
      <w:r>
        <w:rPr>
          <w:rFonts w:ascii="Times New Roman;serif" w:hAnsi="Times New Roman;serif"/>
          <w:b w:val="false"/>
          <w:color w:val="000000"/>
          <w:sz w:val="20"/>
        </w:rPr>
        <w:t>Asset impairment charges and write-offs relate to assets associated with exited operations and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were recorded in the following statement of income (loss) classifications:</w:t>
      </w:r>
    </w:p>
    <w:tbl>
      <w:tblPr>
        <w:tblW w:w="8929"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303"/>
        <w:gridCol w:w="584"/>
        <w:gridCol w:w="157"/>
        <w:gridCol w:w="157"/>
        <w:gridCol w:w="157"/>
        <w:gridCol w:w="157"/>
        <w:gridCol w:w="303"/>
        <w:gridCol w:w="692"/>
        <w:gridCol w:w="157"/>
        <w:gridCol w:w="109"/>
        <w:gridCol w:w="109"/>
        <w:gridCol w:w="109"/>
        <w:gridCol w:w="290"/>
        <w:gridCol w:w="703"/>
        <w:gridCol w:w="150"/>
        <w:gridCol w:w="150"/>
        <w:gridCol w:w="150"/>
        <w:gridCol w:w="150"/>
        <w:gridCol w:w="290"/>
        <w:gridCol w:w="559"/>
        <w:gridCol w:w="212"/>
      </w:tblGrid>
      <w:t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30,</w:t>
            </w:r>
          </w:p>
        </w:tc>
      </w:tr>
      <w:t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expected future payments related to the company’s workforce reduction actions are as follows:</w:t>
      </w:r>
    </w:p>
    <w:tbl>
      <w:tblPr>
        <w:tblW w:w="6362" w:type="dxa"/>
        <w:jc w:val="left"/>
        <w:tblInd w:w="0" w:type="dxa"/>
        <w:tblLayout w:type="fixed"/>
        <w:tblCellMar>
          <w:top w:w="28" w:type="dxa"/>
          <w:left w:w="28" w:type="dxa"/>
          <w:bottom w:w="28" w:type="dxa"/>
          <w:right w:w="28" w:type="dxa"/>
        </w:tblCellMar>
      </w:tblPr>
      <w:tblGrid>
        <w:gridCol w:w="1868"/>
        <w:gridCol w:w="1640"/>
        <w:gridCol w:w="1651"/>
        <w:gridCol w:w="109"/>
        <w:gridCol w:w="109"/>
        <w:gridCol w:w="109"/>
        <w:gridCol w:w="211"/>
        <w:gridCol w:w="511"/>
        <w:gridCol w:w="154"/>
      </w:tblGrid>
      <w:t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future utilization on 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83260"/>
                <wp:effectExtent l="0" t="0" r="0" b="0"/>
                <wp:wrapNone/>
                <wp:docPr id="11" name="Frame1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4 - Pension and Postretirement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 is presented below:</w:t>
      </w:r>
    </w:p>
    <w:tbl>
      <w:tblPr>
        <w:tblW w:w="10205" w:type="dxa"/>
        <w:jc w:val="left"/>
        <w:tblInd w:w="0" w:type="dxa"/>
        <w:tblLayout w:type="fixed"/>
        <w:tblCellMar>
          <w:top w:w="28" w:type="dxa"/>
          <w:left w:w="28" w:type="dxa"/>
          <w:bottom w:w="28" w:type="dxa"/>
          <w:right w:w="28" w:type="dxa"/>
        </w:tblCellMar>
      </w:tblPr>
      <w:tblGrid>
        <w:gridCol w:w="993"/>
        <w:gridCol w:w="735"/>
        <w:gridCol w:w="742"/>
        <w:gridCol w:w="109"/>
        <w:gridCol w:w="109"/>
        <w:gridCol w:w="109"/>
        <w:gridCol w:w="211"/>
        <w:gridCol w:w="616"/>
        <w:gridCol w:w="109"/>
        <w:gridCol w:w="109"/>
        <w:gridCol w:w="109"/>
        <w:gridCol w:w="109"/>
        <w:gridCol w:w="211"/>
        <w:gridCol w:w="616"/>
        <w:gridCol w:w="109"/>
        <w:gridCol w:w="109"/>
        <w:gridCol w:w="109"/>
        <w:gridCol w:w="109"/>
        <w:gridCol w:w="288"/>
        <w:gridCol w:w="554"/>
        <w:gridCol w:w="149"/>
        <w:gridCol w:w="109"/>
        <w:gridCol w:w="109"/>
        <w:gridCol w:w="109"/>
        <w:gridCol w:w="211"/>
        <w:gridCol w:w="616"/>
        <w:gridCol w:w="109"/>
        <w:gridCol w:w="109"/>
        <w:gridCol w:w="109"/>
        <w:gridCol w:w="109"/>
        <w:gridCol w:w="211"/>
        <w:gridCol w:w="616"/>
        <w:gridCol w:w="109"/>
        <w:gridCol w:w="109"/>
        <w:gridCol w:w="109"/>
        <w:gridCol w:w="109"/>
        <w:gridCol w:w="283"/>
        <w:gridCol w:w="545"/>
        <w:gridCol w:w="210"/>
      </w:tblGrid>
      <w:tr>
        <w:tc>
          <w:tcPr>
            <w:tcW w:w="99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 2025</w:t>
            </w:r>
          </w:p>
        </w:tc>
      </w:tr>
      <w:t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Settlement losses </w:t>
            </w:r>
            <w:r>
              <w:rPr>
                <w:rFonts w:ascii="Times New Roman;serif" w:hAnsi="Times New Roman;serif"/>
                <w:b w:val="false"/>
                <w:color w:val="000000"/>
                <w:sz w:val="13"/>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3"/>
        <w:gridCol w:w="735"/>
        <w:gridCol w:w="742"/>
        <w:gridCol w:w="109"/>
        <w:gridCol w:w="109"/>
        <w:gridCol w:w="109"/>
        <w:gridCol w:w="211"/>
        <w:gridCol w:w="616"/>
        <w:gridCol w:w="109"/>
        <w:gridCol w:w="109"/>
        <w:gridCol w:w="109"/>
        <w:gridCol w:w="109"/>
        <w:gridCol w:w="211"/>
        <w:gridCol w:w="616"/>
        <w:gridCol w:w="109"/>
        <w:gridCol w:w="109"/>
        <w:gridCol w:w="109"/>
        <w:gridCol w:w="109"/>
        <w:gridCol w:w="251"/>
        <w:gridCol w:w="609"/>
        <w:gridCol w:w="131"/>
        <w:gridCol w:w="109"/>
        <w:gridCol w:w="109"/>
        <w:gridCol w:w="109"/>
        <w:gridCol w:w="211"/>
        <w:gridCol w:w="616"/>
        <w:gridCol w:w="109"/>
        <w:gridCol w:w="109"/>
        <w:gridCol w:w="109"/>
        <w:gridCol w:w="109"/>
        <w:gridCol w:w="211"/>
        <w:gridCol w:w="616"/>
        <w:gridCol w:w="109"/>
        <w:gridCol w:w="109"/>
        <w:gridCol w:w="109"/>
        <w:gridCol w:w="109"/>
        <w:gridCol w:w="283"/>
        <w:gridCol w:w="545"/>
        <w:gridCol w:w="210"/>
      </w:tblGrid>
      <w:tr>
        <w:tc>
          <w:tcPr>
            <w:tcW w:w="99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 2025</w:t>
            </w:r>
          </w:p>
        </w:tc>
      </w:tr>
      <w:t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Settlement losses </w:t>
            </w:r>
            <w:r>
              <w:rPr>
                <w:rFonts w:ascii="Times New Roman;serif" w:hAnsi="Times New Roman;serif"/>
                <w:b w:val="false"/>
                <w:color w:val="000000"/>
                <w:sz w:val="13"/>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pension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78"/>
        <w:gridCol w:w="2863"/>
        <w:gridCol w:w="4064"/>
      </w:tblGrid>
      <w:tr>
        <w:tc>
          <w:tcPr>
            <w:tcW w:w="3278"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pPr>
            <w:r>
              <w:rPr>
                <w:rFonts w:ascii="Times New Roman;serif" w:hAnsi="Times New Roman;serif"/>
                <w:b w:val="false"/>
                <w:color w:val="000000"/>
                <w:sz w:val="12"/>
              </w:rPr>
              <w:t xml:space="preserve">(i) </w:t>
            </w:r>
            <w:r>
              <w:rPr>
                <w:rFonts w:ascii="Times New Roman;serif" w:hAnsi="Times New Roman;serif"/>
                <w:b w:val="false"/>
                <w:color w:val="000000"/>
                <w:sz w:val="18"/>
              </w:rPr>
              <w:t>Service cost is reported in selling, general and administrative expense. All other components of net periodic pension expense are reported in other (expense), net in the consolidated statements of income (loss).</w:t>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(ii)</w:t>
            </w:r>
            <w:r>
              <w:rPr>
                <w:color w:val="000000"/>
              </w:rPr>
              <w:t xml:space="preserve"> </w:t>
            </w:r>
            <w:r>
              <w:rPr>
                <w:rFonts w:ascii="Times New Roman;serif" w:hAnsi="Times New Roman;serif"/>
                <w:b w:val="false"/>
                <w:color w:val="000000"/>
                <w:sz w:val="18"/>
              </w:rPr>
              <w:t>In September 2026, the company purchased a group annuity contract, with plan assets, to transfer to a third-party issuer approximately $200 million of projected U.S. defined benefit pension liabilities. This action resulted in a pre-tax settlement loss of $151.2 million for both the three and nine months ended September 30, 2026.</w:t>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(iii)</w:t>
            </w:r>
            <w:r>
              <w:rPr>
                <w:color w:val="000000"/>
              </w:rPr>
              <w:t xml:space="preserve"> </w:t>
            </w:r>
            <w:r>
              <w:rPr>
                <w:rFonts w:ascii="Times New Roman;serif" w:hAnsi="Times New Roman;serif"/>
                <w:b w:val="false"/>
                <w:color w:val="000000"/>
                <w:sz w:val="18"/>
              </w:rPr>
              <w:t>In September 2025, the company purchased a group annuity contract, with plan assets, to transfer to a third-party issuer approximately $320 million of projected U.S. defined benefit pension liabilities. This action resulted in a pre-tax settlement loss of $227.7 million for both the three and nine months ended September 30, 2025.</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made cash contributions of $87.7 million to its global defined benefit pension plans. For the remainder of 2026, the company expects to make cash contributions of approximately $9 million, resulting in total expected cash contributions for 2026 of approximately $97 million to the company’s global defined benefit pension plans. These contributions are expected to include approximately $47 million to the company’s U.S. qualified defined benefit pension plans and approximately $50 million, primarily to the company’s international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made cash contributions of $317.2 million to its global defined benefit pension plans, including a discretionary contribution of $250 million to its U.S. defined benefit pension plans. In 2025, the company made cash contributions of $343.7 million to its global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end of each year, the company estimates its future cash contributions to its global defined benefit pension plans based on year-end pension data, assumptions and agreements. Any material deterioration in the value of the company’s global defined benefit pension plan assets, as well as changes in pension legislation, volatility in the capital markets, discount rate changes, asset return changes, or changes in economic or demographic trends, could require the company to make cash contributions in different amounts and on a different schedule than previously estimated.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3260"/>
                <wp:effectExtent l="0" t="0" r="0" b="0"/>
                <wp:wrapNone/>
                <wp:docPr id="12" name="Frame1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expense is presented below:</w:t>
      </w:r>
    </w:p>
    <w:tbl>
      <w:tblPr>
        <w:tblW w:w="7951" w:type="dxa"/>
        <w:jc w:val="left"/>
        <w:tblInd w:w="0" w:type="dxa"/>
        <w:tblLayout w:type="fixed"/>
        <w:tblCellMar>
          <w:top w:w="28" w:type="dxa"/>
          <w:left w:w="28" w:type="dxa"/>
          <w:bottom w:w="28" w:type="dxa"/>
          <w:right w:w="28" w:type="dxa"/>
        </w:tblCellMar>
      </w:tblPr>
      <w:tblGrid>
        <w:gridCol w:w="1325"/>
        <w:gridCol w:w="1162"/>
        <w:gridCol w:w="1173"/>
        <w:gridCol w:w="109"/>
        <w:gridCol w:w="109"/>
        <w:gridCol w:w="109"/>
        <w:gridCol w:w="215"/>
        <w:gridCol w:w="414"/>
        <w:gridCol w:w="111"/>
        <w:gridCol w:w="111"/>
        <w:gridCol w:w="111"/>
        <w:gridCol w:w="111"/>
        <w:gridCol w:w="215"/>
        <w:gridCol w:w="414"/>
        <w:gridCol w:w="111"/>
        <w:gridCol w:w="109"/>
        <w:gridCol w:w="109"/>
        <w:gridCol w:w="109"/>
        <w:gridCol w:w="211"/>
        <w:gridCol w:w="406"/>
        <w:gridCol w:w="109"/>
        <w:gridCol w:w="109"/>
        <w:gridCol w:w="109"/>
        <w:gridCol w:w="109"/>
        <w:gridCol w:w="211"/>
        <w:gridCol w:w="406"/>
        <w:gridCol w:w="154"/>
      </w:tblGrid>
      <w:tr>
        <w:tc>
          <w:tcPr>
            <w:tcW w:w="132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2"/>
        <w:gridCol w:w="4069"/>
      </w:tblGrid>
      <w:t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0" w:after="40"/>
              <w:ind w:left="0" w:right="0" w:hanging="180"/>
              <w:jc w:val="left"/>
            </w:pPr>
            <w:r>
              <w:rPr>
                <w:rFonts w:ascii="Times New Roman;serif" w:hAnsi="Times New Roman;serif"/>
                <w:b w:val="false"/>
                <w:color w:val="000000"/>
                <w:sz w:val="12"/>
              </w:rPr>
              <w:t xml:space="preserve">(i) </w:t>
            </w:r>
            <w:r>
              <w:rPr>
                <w:rFonts w:ascii="Times New Roman;serif" w:hAnsi="Times New Roman;serif"/>
                <w:b w:val="false"/>
                <w:color w:val="000000"/>
                <w:sz w:val="18"/>
              </w:rPr>
              <w:t>Service cost is reported in selling, general and administrative expense. All other components of net periodic postretirement benefit expense are reported in other (expense), net in the consolidated statements of income (loss).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make cash contributions of $3 million to its postretirement benefit plan in 2026. In 2025, the company made cash contributions of $1.6 million to its postretirement benefit plan. For the nine months ended September 30, 2026 and 2025, the company made cash contributions of $1.3 million and $1.0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5 - 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stockholder approved stock-based plans, stock options, stock appreciation rights, restricted stock and restricted stock units (RSUs) may be granted to officers, directors and other key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has granted restricted stock and RSUs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and 2025, the company recorded $9.8 million and $12.2 million of share-based restricted stock and RSU compensation expense,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RSU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The fair value of awards with time and performance conditions is determined based on the trading price of the company’s common shares on the date of grant. The fair value of awards with market conditions is estimated using a Monte Carlo simulation.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RSU grants for the company’s directors vest upon award and compensation expense for such awards is recognized upon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and RSU activity for the nine months ended September 30, 2026 follows (shares in thousands):</w:t>
      </w:r>
    </w:p>
    <w:tbl>
      <w:tblPr>
        <w:tblW w:w="5560" w:type="dxa"/>
        <w:jc w:val="left"/>
        <w:tblInd w:w="0" w:type="dxa"/>
        <w:tblLayout w:type="fixed"/>
        <w:tblCellMar>
          <w:top w:w="28" w:type="dxa"/>
          <w:left w:w="28" w:type="dxa"/>
          <w:bottom w:w="28" w:type="dxa"/>
          <w:right w:w="28" w:type="dxa"/>
        </w:tblCellMar>
      </w:tblPr>
      <w:tblGrid>
        <w:gridCol w:w="1081"/>
        <w:gridCol w:w="949"/>
        <w:gridCol w:w="954"/>
        <w:gridCol w:w="109"/>
        <w:gridCol w:w="109"/>
        <w:gridCol w:w="109"/>
        <w:gridCol w:w="344"/>
        <w:gridCol w:w="346"/>
        <w:gridCol w:w="286"/>
        <w:gridCol w:w="109"/>
        <w:gridCol w:w="109"/>
        <w:gridCol w:w="109"/>
        <w:gridCol w:w="227"/>
        <w:gridCol w:w="551"/>
        <w:gridCol w:w="168"/>
      </w:tblGrid>
      <w:t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Restricted </w:t>
              <w:br/>
              <w:t>Stock</w:t>
              <w:br/>
              <w:t> and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w:t>
              <w:br/>
              <w:t>Average</w:t>
              <w:br/>
              <w:t>Grant-Date</w:t>
              <w:br/>
              <w:t>Fair Value</w:t>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Granted </w:t>
            </w:r>
            <w:r>
              <w:rPr>
                <w:rFonts w:ascii="Times New Roman;serif" w:hAnsi="Times New Roman;serif"/>
                <w:b w:val="false"/>
                <w:color w:val="000000"/>
                <w:sz w:val="13"/>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Vested </w:t>
            </w:r>
            <w:r>
              <w:rPr>
                <w:rFonts w:ascii="Times New Roman;serif" w:hAnsi="Times New Roman;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pPr>
      <w:r>
        <w:rPr>
          <w:rFonts w:ascii="Times New Roman;serif" w:hAnsi="Times New Roman;serif"/>
          <w:b w:val="false"/>
          <w:color w:val="000000"/>
          <w:sz w:val="12"/>
        </w:rPr>
        <w:t xml:space="preserve">(i) </w:t>
      </w:r>
      <w:r>
        <w:rPr>
          <w:rFonts w:ascii="Times New Roman;serif" w:hAnsi="Times New Roman;serif"/>
          <w:b w:val="false"/>
          <w:color w:val="000000"/>
          <w:sz w:val="18"/>
        </w:rPr>
        <w:t>Awards granted during the nine months ended September 30, 2026 were time-based conditions awards.</w:t>
      </w:r>
    </w:p>
    <w:p>
      <w:pPr>
        <w:pStyle w:val="TextBody"/>
        <w:bidi w:val="0"/>
        <w:spacing w:lineRule="auto" w:line="288" w:before="140" w:after="283"/>
        <w:jc w:val="left"/>
      </w:pPr>
      <w:r>
        <w:rPr>
          <w:rFonts w:ascii="Times New Roman;serif" w:hAnsi="Times New Roman;serif"/>
          <w:b w:val="false"/>
          <w:color w:val="000000"/>
          <w:sz w:val="12"/>
        </w:rPr>
        <w:t>(ii)</w:t>
      </w:r>
      <w:r>
        <w:rPr>
          <w:color w:val="000000"/>
        </w:rPr>
        <w:t xml:space="preserve"> </w:t>
      </w:r>
      <w:r>
        <w:rPr>
          <w:rFonts w:ascii="Times New Roman;serif" w:hAnsi="Times New Roman;serif"/>
          <w:b w:val="false"/>
          <w:color w:val="000000"/>
          <w:sz w:val="18"/>
        </w:rPr>
        <w:t>Vested awards include 2023 and 2024 performance-based RSUs awards vested at zero percent payout.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there was $14.8 million of total unrecognized compensation cost related to outstanding restricted stock and RSUs granted under the company’s plans. That cost is expected to be recognized over a weighted-average period of 1.9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83260"/>
                <wp:effectExtent l="0" t="0" r="0" b="0"/>
                <wp:wrapNone/>
                <wp:docPr id="13" name="Frame1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6 - Other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is comprised of the following:</w:t>
      </w:r>
    </w:p>
    <w:tbl>
      <w:tblPr>
        <w:tblW w:w="8561" w:type="dxa"/>
        <w:jc w:val="left"/>
        <w:tblInd w:w="0" w:type="dxa"/>
        <w:tblLayout w:type="fixed"/>
        <w:tblCellMar>
          <w:top w:w="28" w:type="dxa"/>
          <w:left w:w="28" w:type="dxa"/>
          <w:bottom w:w="28" w:type="dxa"/>
          <w:right w:w="28" w:type="dxa"/>
        </w:tblCellMar>
      </w:tblPr>
      <w:tblGrid>
        <w:gridCol w:w="1147"/>
        <w:gridCol w:w="1007"/>
        <w:gridCol w:w="1010"/>
        <w:gridCol w:w="109"/>
        <w:gridCol w:w="109"/>
        <w:gridCol w:w="10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Pension and postretirement expense</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Foreign exchange (losses) gains</w:t>
            </w:r>
            <w:r>
              <w:rPr>
                <w:rFonts w:ascii="Times New Roman;serif" w:hAnsi="Times New Roman;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Interest income</w:t>
            </w:r>
            <w:r>
              <w:rPr>
                <w:rFonts w:ascii="Times New Roman;serif" w:hAnsi="Times New Roman;serif"/>
                <w:b w:val="false"/>
                <w:color w:val="000000"/>
                <w:sz w:val="13"/>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net</w:t>
            </w:r>
            <w:r>
              <w:rPr>
                <w:rFonts w:ascii="Times New Roman;serif" w:hAnsi="Times New Roman;serif"/>
                <w:b w:val="false"/>
                <w:color w:val="000000"/>
                <w:sz w:val="13"/>
              </w:rPr>
              <w: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180"/>
        <w:jc w:val="left"/>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Pension and postretirement expense includes U.S. pension settlement losses of $151.2 million and $227.7 million for the three and nine months ended September 30, 2026 and 2025, respectively. See Note 4.</w:t>
      </w:r>
    </w:p>
    <w:p>
      <w:pPr>
        <w:pStyle w:val="TextBody"/>
        <w:bidi w:val="0"/>
        <w:spacing w:lineRule="auto" w:line="288" w:before="100" w:after="283"/>
        <w:ind w:left="0" w:right="0" w:hanging="180"/>
        <w:jc w:val="left"/>
      </w:pPr>
      <w:r>
        <w:rPr>
          <w:rFonts w:ascii="Times New Roman;serif" w:hAnsi="Times New Roman;serif"/>
          <w:b w:val="false"/>
          <w:color w:val="000000"/>
          <w:sz w:val="12"/>
        </w:rPr>
        <w:t>(ii)</w:t>
      </w:r>
      <w:r>
        <w:rPr>
          <w:color w:val="000000"/>
        </w:rPr>
        <w:t xml:space="preserve"> </w:t>
      </w:r>
      <w:r>
        <w:rPr>
          <w:rFonts w:ascii="Times New Roman;serif" w:hAnsi="Times New Roman;serif"/>
          <w:b w:val="false"/>
          <w:color w:val="000000"/>
          <w:sz w:val="18"/>
        </w:rPr>
        <w:t>Foreign exchange (losses) gains include gains (losses) from remeasuring cash, receivables, payables and intercompany balances denominated in foreign currencies, as well as gains (losses) related to the substantial completion of liquidation of certain foreign subsidiaries. In the third quarter of 2025, the company ceased the use of foreign currency forward contracts used to mitigate the impact of exchange rate fluctuations in the intercompany balances denominated in foreign currencies. The gains (losses) on such forward contracts for the three and nine months ended September 30, 2025 were included within foreign exchange (losses) gains. See Note 10 for details on the company’s foreign exchange forward contracts.</w:t>
      </w:r>
    </w:p>
    <w:p>
      <w:pPr>
        <w:pStyle w:val="TextBody"/>
        <w:bidi w:val="0"/>
        <w:spacing w:lineRule="auto" w:line="288" w:before="100" w:after="283"/>
        <w:jc w:val="left"/>
      </w:pPr>
      <w:r>
        <w:rPr>
          <w:rFonts w:ascii="Times New Roman;serif" w:hAnsi="Times New Roman;serif"/>
          <w:b w:val="false"/>
          <w:color w:val="000000"/>
          <w:sz w:val="12"/>
        </w:rPr>
        <w:t xml:space="preserve">(iii) </w:t>
      </w:r>
      <w:r>
        <w:rPr>
          <w:rFonts w:ascii="Times New Roman;serif" w:hAnsi="Times New Roman;serif"/>
          <w:b w:val="false"/>
          <w:color w:val="000000"/>
          <w:sz w:val="18"/>
        </w:rPr>
        <w:t>Interest income relates primarily to interest earned from cash and short-term investments.</w:t>
      </w:r>
    </w:p>
    <w:p>
      <w:pPr>
        <w:pStyle w:val="TextBody"/>
        <w:bidi w:val="0"/>
        <w:spacing w:lineRule="auto" w:line="288" w:before="100" w:after="283"/>
        <w:jc w:val="left"/>
      </w:pPr>
      <w:r>
        <w:rPr>
          <w:rFonts w:ascii="Times New Roman;serif" w:hAnsi="Times New Roman;serif"/>
          <w:b w:val="false"/>
          <w:color w:val="000000"/>
          <w:sz w:val="12"/>
        </w:rPr>
        <w:t xml:space="preserve">(iv) </w:t>
      </w:r>
      <w:r>
        <w:rPr>
          <w:rFonts w:ascii="Times New Roman;serif" w:hAnsi="Times New Roman;serif"/>
          <w:b w:val="false"/>
          <w:color w:val="000000"/>
          <w:sz w:val="18"/>
        </w:rPr>
        <w:t>Other, net for both the three and nine months ended September 30, 2026 includes a reserve of approximately $7 million related to a tax settlement program in Brazil. See Note 14. Other, net also includes environmental costs related to previously disposed businesses and other miscellaneous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7 -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provision for income taxes was $21.8 million and $51.3 million, respectively, primarily driven by the geographic distribution of income. For the three and nine months ended September 30, 2026, the effective tax rate was (12.2)% and (18.2)%, respectively,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provision for income taxes was $16.3 million and $46.9 million, respectively, primarily driven by the geographic distribution of income. For the three and nine months ended September 30, 2025, the effective tax rate was (5.6)% and (15.0)%, respectively, primarily driven by non-creditable withholding taxes in the U.S., jurisdictions with no valuation allowance that are subject to tax, and U.S. operating losses with no tax benefit as the deferred tax assets are subject to a full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83260"/>
                <wp:effectExtent l="0" t="0" r="0" b="0"/>
                <wp:wrapNone/>
                <wp:docPr id="14" name="Frame1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8 -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calculations for the company’s earnings (loss) per common share attributable to Unisys Corporation (shares in thousands):</w:t>
      </w:r>
    </w:p>
    <w:tbl>
      <w:tblPr>
        <w:tblW w:w="10205" w:type="dxa"/>
        <w:jc w:val="left"/>
        <w:tblInd w:w="0" w:type="dxa"/>
        <w:tblLayout w:type="fixed"/>
        <w:tblCellMar>
          <w:top w:w="28" w:type="dxa"/>
          <w:left w:w="28" w:type="dxa"/>
          <w:bottom w:w="28" w:type="dxa"/>
          <w:right w:w="28" w:type="dxa"/>
        </w:tblCellMar>
      </w:tblPr>
      <w:tblGrid>
        <w:gridCol w:w="1761"/>
        <w:gridCol w:w="1544"/>
        <w:gridCol w:w="1551"/>
        <w:gridCol w:w="109"/>
        <w:gridCol w:w="109"/>
        <w:gridCol w:w="109"/>
        <w:gridCol w:w="211"/>
        <w:gridCol w:w="678"/>
        <w:gridCol w:w="109"/>
        <w:gridCol w:w="109"/>
        <w:gridCol w:w="109"/>
        <w:gridCol w:w="109"/>
        <w:gridCol w:w="211"/>
        <w:gridCol w:w="678"/>
        <w:gridCol w:w="109"/>
        <w:gridCol w:w="109"/>
        <w:gridCol w:w="109"/>
        <w:gridCol w:w="109"/>
        <w:gridCol w:w="211"/>
        <w:gridCol w:w="678"/>
        <w:gridCol w:w="109"/>
        <w:gridCol w:w="109"/>
        <w:gridCol w:w="109"/>
        <w:gridCol w:w="109"/>
        <w:gridCol w:w="211"/>
        <w:gridCol w:w="678"/>
        <w:gridCol w:w="158"/>
      </w:tblGrid>
      <w:tr>
        <w:tc>
          <w:tcPr>
            <w:tcW w:w="176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common share computation: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common share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 of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Anti-dilutive restricted stock units</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0"/>
        <w:gridCol w:w="2866"/>
        <w:gridCol w:w="4079"/>
      </w:tblGrid>
      <w:tr>
        <w:tc>
          <w:tcPr>
            <w:tcW w:w="3260"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40" w:before="60" w:after="40"/>
              <w:jc w:val="left"/>
            </w:pPr>
            <w:r>
              <w:rPr>
                <w:rFonts w:ascii="Times New Roman;serif" w:hAnsi="Times New Roman;serif"/>
                <w:b w:val="false"/>
                <w:color w:val="000000"/>
                <w:sz w:val="12"/>
              </w:rPr>
              <w:t xml:space="preserve">(i) </w:t>
            </w:r>
            <w:r>
              <w:rPr>
                <w:rFonts w:ascii="Times New Roman;serif" w:hAnsi="Times New Roman;serif"/>
                <w:b w:val="false"/>
                <w:color w:val="000000"/>
                <w:sz w:val="18"/>
              </w:rPr>
              <w:t>Amounts represent shares excluded from the computation of diluted loss per share, as their effect, if included, would have been anti-dilutive for the periods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9 -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disaggregated by type of revenue: </w:t>
      </w:r>
    </w:p>
    <w:tbl>
      <w:tblPr>
        <w:tblW w:w="6314" w:type="dxa"/>
        <w:jc w:val="left"/>
        <w:tblInd w:w="0" w:type="dxa"/>
        <w:tblLayout w:type="fixed"/>
        <w:tblCellMar>
          <w:top w:w="28" w:type="dxa"/>
          <w:left w:w="28" w:type="dxa"/>
          <w:bottom w:w="28" w:type="dxa"/>
          <w:right w:w="28" w:type="dxa"/>
        </w:tblCellMar>
      </w:tblPr>
      <w:tblGrid>
        <w:gridCol w:w="450"/>
        <w:gridCol w:w="395"/>
        <w:gridCol w:w="39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Technology</w:t>
            </w:r>
            <w:r>
              <w:rPr>
                <w:rFonts w:ascii="Times New Roman;serif" w:hAnsi="Times New Roman;serif"/>
                <w:b w:val="false"/>
                <w:color w:val="000000"/>
                <w:sz w:val="13"/>
              </w:rPr>
              <w:t>(i)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Technology represents hardware and software license revenue.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Contract Assets and 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represent rights to consideration in exchange for goods or services transferred to a customer when that right is conditional on something other than the passage of time. Deferred revenue represents contract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 (liabilities) are as follows:</w:t>
      </w:r>
    </w:p>
    <w:tbl>
      <w:tblPr>
        <w:tblW w:w="6221" w:type="dxa"/>
        <w:jc w:val="left"/>
        <w:tblInd w:w="0" w:type="dxa"/>
        <w:tblLayout w:type="fixed"/>
        <w:tblCellMar>
          <w:top w:w="28" w:type="dxa"/>
          <w:left w:w="28" w:type="dxa"/>
          <w:bottom w:w="28" w:type="dxa"/>
          <w:right w:w="28" w:type="dxa"/>
        </w:tblCellMar>
      </w:tblPr>
      <w:tblGrid>
        <w:gridCol w:w="885"/>
        <w:gridCol w:w="778"/>
        <w:gridCol w:w="782"/>
        <w:gridCol w:w="501"/>
        <w:gridCol w:w="964"/>
        <w:gridCol w:w="260"/>
        <w:gridCol w:w="109"/>
        <w:gridCol w:w="109"/>
        <w:gridCol w:w="109"/>
        <w:gridCol w:w="414"/>
        <w:gridCol w:w="1005"/>
        <w:gridCol w:w="305"/>
      </w:tblGrid>
      <w:t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Contract assets - long-term</w:t>
            </w:r>
            <w:r>
              <w:rPr>
                <w:rFonts w:ascii="Times New Roman;serif" w:hAnsi="Times New Roman;serif"/>
                <w:b w:val="false"/>
                <w:color w:val="000000"/>
                <w:sz w:val="13"/>
              </w:rPr>
              <w:t>(i)</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73" w:type="dxa"/>
        <w:jc w:val="left"/>
        <w:tblInd w:w="0" w:type="dxa"/>
        <w:tblLayout w:type="fixed"/>
        <w:tblCellMar>
          <w:top w:w="28" w:type="dxa"/>
          <w:left w:w="28" w:type="dxa"/>
          <w:bottom w:w="28" w:type="dxa"/>
          <w:right w:w="28" w:type="dxa"/>
        </w:tblCellMar>
      </w:tblPr>
      <w:tblGrid>
        <w:gridCol w:w="550"/>
        <w:gridCol w:w="484"/>
        <w:gridCol w:w="484"/>
        <w:gridCol w:w="484"/>
        <w:gridCol w:w="484"/>
        <w:gridCol w:w="484"/>
        <w:gridCol w:w="484"/>
        <w:gridCol w:w="484"/>
        <w:gridCol w:w="484"/>
        <w:gridCol w:w="484"/>
        <w:gridCol w:w="484"/>
        <w:gridCol w:w="683"/>
      </w:tblGrid>
      <w:tr>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c>
          <w:tcPr>
            <w:tcW w:w="6073" w:type="dxa"/>
            <w:gridSpan w:val="12"/>
            <w:tcBorders/>
            <w:tcMar>
              <w:top w:w="0" w:type="dxa"/>
              <w:left w:w="0" w:type="dxa"/>
              <w:bottom w:w="0" w:type="dxa"/>
              <w:right w:w="0" w:type="dxa"/>
            </w:tcMar>
            <w:vAlign w:val="center"/>
          </w:tcPr>
          <w:p>
            <w:pPr>
              <w:pStyle w:val="TableContents"/>
              <w:bidi w:val="0"/>
              <w:spacing w:lineRule="auto" w:line="240" w:before="0" w:after="40"/>
              <w:jc w:val="left"/>
            </w:pPr>
            <w:r>
              <w:rPr>
                <w:rFonts w:ascii="Times New Roman;serif" w:hAnsi="Times New Roman;serif"/>
                <w:b w:val="false"/>
                <w:color w:val="000000"/>
                <w:sz w:val="12"/>
              </w:rPr>
              <w:t xml:space="preserve">(i) </w:t>
            </w:r>
            <w:r>
              <w:rPr>
                <w:rFonts w:ascii="Times New Roman;serif" w:hAnsi="Times New Roman;serif"/>
                <w:b w:val="false"/>
                <w:color w:val="000000"/>
                <w:sz w:val="18"/>
              </w:rPr>
              <w:t>Reported in other long-term assets on the company’s consolidated balance sheets.</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83260"/>
                <wp:effectExtent l="0" t="0" r="0" b="0"/>
                <wp:wrapNone/>
                <wp:docPr id="15" name="Frame1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changes in the above contract liability balances were as follows: </w:t>
      </w:r>
    </w:p>
    <w:tbl>
      <w:tblPr>
        <w:tblW w:w="10205" w:type="dxa"/>
        <w:jc w:val="left"/>
        <w:tblInd w:w="0" w:type="dxa"/>
        <w:tblLayout w:type="fixed"/>
        <w:tblCellMar>
          <w:top w:w="28" w:type="dxa"/>
          <w:left w:w="28" w:type="dxa"/>
          <w:bottom w:w="28" w:type="dxa"/>
          <w:right w:w="28" w:type="dxa"/>
        </w:tblCellMar>
      </w:tblPr>
      <w:tblGrid>
        <w:gridCol w:w="2045"/>
        <w:gridCol w:w="1796"/>
        <w:gridCol w:w="1802"/>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6"/>
      </w:tblGrid>
      <w:tr>
        <w:tc>
          <w:tcPr>
            <w:tcW w:w="204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5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deferred revenue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Capitalized Contract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capitalized contract costs, net include the following: </w:t>
      </w:r>
    </w:p>
    <w:p>
      <w:pPr>
        <w:pStyle w:val="TextBody"/>
        <w:bidi w:val="0"/>
        <w:spacing w:before="120" w:after="283"/>
        <w:jc w:val="left"/>
      </w:pPr>
      <w:r/>
    </w:p>
    <w:tbl>
      <w:tblPr>
        <w:tblW w:w="6776" w:type="dxa"/>
        <w:jc w:val="left"/>
        <w:tblInd w:w="0" w:type="dxa"/>
        <w:tblLayout w:type="fixed"/>
        <w:tblCellMar>
          <w:top w:w="28" w:type="dxa"/>
          <w:left w:w="28" w:type="dxa"/>
          <w:bottom w:w="28" w:type="dxa"/>
          <w:right w:w="28" w:type="dxa"/>
        </w:tblCellMar>
      </w:tblPr>
      <w:tblGrid>
        <w:gridCol w:w="1086"/>
        <w:gridCol w:w="955"/>
        <w:gridCol w:w="959"/>
        <w:gridCol w:w="438"/>
        <w:gridCol w:w="1059"/>
        <w:gridCol w:w="228"/>
        <w:gridCol w:w="109"/>
        <w:gridCol w:w="109"/>
        <w:gridCol w:w="109"/>
        <w:gridCol w:w="414"/>
        <w:gridCol w:w="1005"/>
        <w:gridCol w:w="305"/>
      </w:tblGrid>
      <w:t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commissions, net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Costs to fulfill a contract, net </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capitalized assets, net</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capitalized contract costs, net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amortization expense related to capitalized contract costs, net was $6.2 million and $3.9 million, respectively. For the nine months ended September 30, 2026 and 2025, amortization expense related to capitalized contract costs assets, net was $19.7 million and $11.4 million, respectively.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firm orders for which work has not been performed and excludes (i) contracts with an original expected length of one year or less and (ii) contracts for which the company recognizes revenue at the amount to which it has the right to invoice for services performed. At September 30, 2026, the company had approximately $0.7 billion of remaining performance obligations of which approximately 13% is estimated to be recognized as revenue by the end of 2026, 41% by the end of 2027, 25% by the end of 2028, 12% by the end of 2029 and 9%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10 - Financial Instruments and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its foreign operations, the company is exposed to the effects of foreign currency exchange rate fluctuations on the U.S. dollar, principally related to intercompany account balances. In the third quarter of 2025, the company ceased its use of foreign currency forward contracts; as such, these contracts had no remaining notional amounts since December 31, 2025. For the three and nine months ended September 30, 2025, gains (losses) recognized on foreign currency exchange forward contracts were $(7.5) million and $46.4 million, respectively, and included within other (expense), net in the consolidated statements of income (loss). These contracts were not designated as hedging instruments and the fair value was based on quoted prices for similar but not identical financial instruments; as such, the inputs were considered Level 2 inputs.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with carrying values approximating fair value include cash and cash equivalents and accounts receivable. Financial liabilities with carrying values approximating fair value include accounts payable and other liabilities. The carrying amounts of these financial assets and liabilities approximate fair value due to their short maturities. Such financial instruments are not included in the following table that provides information about the estimated fair values of other financial instruments that are not measured at fair value in the consolidated balance sheets as of September 30, 2026 and December 31, 2025.</w:t>
      </w:r>
    </w:p>
    <w:tbl>
      <w:tblPr>
        <w:tblW w:w="10205" w:type="dxa"/>
        <w:jc w:val="left"/>
        <w:tblInd w:w="0" w:type="dxa"/>
        <w:tblLayout w:type="fixed"/>
        <w:tblCellMar>
          <w:top w:w="28" w:type="dxa"/>
          <w:left w:w="28" w:type="dxa"/>
          <w:bottom w:w="28" w:type="dxa"/>
          <w:right w:w="28" w:type="dxa"/>
        </w:tblCellMar>
      </w:tblPr>
      <w:tblGrid>
        <w:gridCol w:w="1538"/>
        <w:gridCol w:w="1355"/>
        <w:gridCol w:w="1358"/>
        <w:gridCol w:w="342"/>
        <w:gridCol w:w="999"/>
        <w:gridCol w:w="176"/>
        <w:gridCol w:w="109"/>
        <w:gridCol w:w="109"/>
        <w:gridCol w:w="109"/>
        <w:gridCol w:w="212"/>
        <w:gridCol w:w="621"/>
        <w:gridCol w:w="109"/>
        <w:gridCol w:w="109"/>
        <w:gridCol w:w="109"/>
        <w:gridCol w:w="109"/>
        <w:gridCol w:w="342"/>
        <w:gridCol w:w="999"/>
        <w:gridCol w:w="176"/>
        <w:gridCol w:w="109"/>
        <w:gridCol w:w="109"/>
        <w:gridCol w:w="109"/>
        <w:gridCol w:w="212"/>
        <w:gridCol w:w="621"/>
        <w:gridCol w:w="164"/>
      </w:tblGrid>
      <w:tr>
        <w:tc>
          <w:tcPr>
            <w:tcW w:w="153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10.625% senior secured notes due January 15, 2031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is carried at amortized cost and its estimated fair value is based on market prices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3260"/>
                <wp:effectExtent l="0" t="0" r="0" b="0"/>
                <wp:wrapNone/>
                <wp:docPr id="16" name="Frame1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11 - Properties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properties, net were as follows:</w:t>
      </w:r>
    </w:p>
    <w:tbl>
      <w:tblPr>
        <w:tblW w:w="8301" w:type="dxa"/>
        <w:jc w:val="left"/>
        <w:tblInd w:w="0" w:type="dxa"/>
        <w:tblLayout w:type="fixed"/>
        <w:tblCellMar>
          <w:top w:w="28" w:type="dxa"/>
          <w:left w:w="28" w:type="dxa"/>
          <w:bottom w:w="28" w:type="dxa"/>
          <w:right w:w="28" w:type="dxa"/>
        </w:tblCellMar>
      </w:tblPr>
      <w:tblGrid>
        <w:gridCol w:w="1519"/>
        <w:gridCol w:w="1332"/>
        <w:gridCol w:w="1348"/>
        <w:gridCol w:w="109"/>
        <w:gridCol w:w="109"/>
        <w:gridCol w:w="109"/>
        <w:gridCol w:w="387"/>
        <w:gridCol w:w="1135"/>
        <w:gridCol w:w="202"/>
        <w:gridCol w:w="109"/>
        <w:gridCol w:w="109"/>
        <w:gridCol w:w="109"/>
        <w:gridCol w:w="371"/>
        <w:gridCol w:w="1083"/>
        <w:gridCol w:w="270"/>
      </w:tblGrid>
      <w:tr>
        <w:tc>
          <w:tcPr>
            <w:tcW w:w="15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properties,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company removed $176.5 million of fully depreciated properties and related accumulated depreciation for assets no longer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12 - Goodwill and Intangible Assets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net carrying value of goodwill by reporting unit was as follows:</w:t>
      </w:r>
    </w:p>
    <w:tbl>
      <w:tblPr>
        <w:tblW w:w="7640" w:type="dxa"/>
        <w:jc w:val="left"/>
        <w:tblInd w:w="0" w:type="dxa"/>
        <w:tblLayout w:type="fixed"/>
        <w:tblCellMar>
          <w:top w:w="28" w:type="dxa"/>
          <w:left w:w="28" w:type="dxa"/>
          <w:bottom w:w="28" w:type="dxa"/>
          <w:right w:w="28" w:type="dxa"/>
        </w:tblCellMar>
      </w:tblPr>
      <w:tblGrid>
        <w:gridCol w:w="956"/>
        <w:gridCol w:w="839"/>
        <w:gridCol w:w="845"/>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54"/>
      </w:tblGrid>
      <w:t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is presented net of accumulated impairment losses of $141.3 million and $94.1 million as of September 30, 2026 and December 31, 2025, respectively, attributable to the DWS reporting unit. For the nine months ended September 30, 2026, the company recognized an impairment loss of $47.2 million on goodwill associated with the DWS reporting unit. The impairment charge was recorded within goodwill and intangible asset impairment in the consolidated statements of income (loss).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as well as whenever there are events or changes in circumstances (triggering events), which indicate that the carrying amount may not be recoverable. The company continuously monitors its revenue, gross profit and operating profit growth and evaluates other relevant events and circumstances including changes to U.S. treasury rates and equity risk premiums, tax rates, recent market valuations from transactions by comparable companies, volatility in the company’s market capitalization, and general industry, market and macro-economic conditions, that could unfavorably impact the recoverability of the goodwill carrying value.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reviewed its estimated long-term expected future cash flows for the DWS reporting unit. DWS projected gross profit was below the previous estimated forecast primarily due to continued competitive pressure resulting from industry and macro-economic conditions. Based on this, the company concluded that a triggering event existed and conducted a quantitative goodwill impairment assessment for the DWS reporting unit in the second quarter of 2026. Based on the results of the quantitative assessment, the carrying value of the DWS reporting unit exceeded its fair value, resulting in the recognition of a goodwill impairment charge of $47.2 million in the second quarter of 2026. The impairment charge represented the entire remaining goodwill balance allocated to the DWS reporting unit, resulting in a full write-off of the reporting unit's 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triggering events were identified during the third quarter of 2026, and no additional goodwill impairment charges were recorded during the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605" cy="14605"/>
                <wp:effectExtent l="0" t="0" r="0" b="0"/>
                <wp:wrapNone/>
                <wp:docPr id="17" name="Frame1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at September 30, 2026, consisted of the following:</w:t>
      </w:r>
    </w:p>
    <w:tbl>
      <w:tblPr>
        <w:tblW w:w="10205" w:type="dxa"/>
        <w:jc w:val="left"/>
        <w:tblInd w:w="0" w:type="dxa"/>
        <w:tblLayout w:type="fixed"/>
        <w:tblCellMar>
          <w:top w:w="28" w:type="dxa"/>
          <w:left w:w="28" w:type="dxa"/>
          <w:bottom w:w="28" w:type="dxa"/>
          <w:right w:w="28" w:type="dxa"/>
        </w:tblCellMar>
      </w:tblPr>
      <w:tblGrid>
        <w:gridCol w:w="645"/>
        <w:gridCol w:w="569"/>
        <w:gridCol w:w="571"/>
        <w:gridCol w:w="109"/>
        <w:gridCol w:w="109"/>
        <w:gridCol w:w="109"/>
        <w:gridCol w:w="396"/>
        <w:gridCol w:w="960"/>
        <w:gridCol w:w="204"/>
        <w:gridCol w:w="109"/>
        <w:gridCol w:w="109"/>
        <w:gridCol w:w="109"/>
        <w:gridCol w:w="482"/>
        <w:gridCol w:w="1169"/>
        <w:gridCol w:w="249"/>
        <w:gridCol w:w="109"/>
        <w:gridCol w:w="109"/>
        <w:gridCol w:w="109"/>
        <w:gridCol w:w="620"/>
        <w:gridCol w:w="1197"/>
        <w:gridCol w:w="322"/>
        <w:gridCol w:w="109"/>
        <w:gridCol w:w="109"/>
        <w:gridCol w:w="109"/>
        <w:gridCol w:w="362"/>
        <w:gridCol w:w="878"/>
        <w:gridCol w:w="273"/>
      </w:tblGrid>
      <w:t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Customer relationships </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 xml:space="preserve">Amortization expense is included within selling, general and administrative expense in the consolidated statements of income (loss).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amortization expense was $0.9 million and $1.1 million, respectively. For the nine months ended September 30, 2026 and 2025, amortization expense was $2.9 million and $3.2 million, respectively.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are tested for impairment whenever events or changes in circumstances would indicate that the carrying value may not be recoverable. An impairment charge would be recognized if the carrying value exceeds fair value in the consolidated statement of income (loss) in the period the impairment is identified.</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second quarter of 2026, the company recorded an impairment charge of $1.5 million related to a customer relationship intangible asset. The impairment was triggered by revised expectations regarding future cash flows. Fair value was determined using a discounted cash flow methodology and is classified as a Level 3 fair value measurement. The impairment charge was recorded within goodwill and intangible asset impairment in the consolidated statements of income (loss). No triggering events were identified during the third quarter of 2026, and no additional intangible asset impairment charges were recorded during the period.</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future amortization relating to acquired intangible assets at September 30, 2026, was estimated as follows:</w:t>
      </w:r>
    </w:p>
    <w:tbl>
      <w:tblPr>
        <w:tblW w:w="4542"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609"/>
        <w:gridCol w:w="1479"/>
        <w:gridCol w:w="447"/>
      </w:tblGrid>
      <w:t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Future Amortization Expense</w:t>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83260"/>
                <wp:effectExtent l="0" t="0" r="0" b="0"/>
                <wp:wrapNone/>
                <wp:docPr id="18" name="Frame1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13 -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is comprised of the following:</w:t>
      </w:r>
    </w:p>
    <w:tbl>
      <w:tblPr>
        <w:tblW w:w="10205" w:type="dxa"/>
        <w:jc w:val="left"/>
        <w:tblInd w:w="0" w:type="dxa"/>
        <w:tblLayout w:type="fixed"/>
        <w:tblCellMar>
          <w:top w:w="28" w:type="dxa"/>
          <w:left w:w="28" w:type="dxa"/>
          <w:bottom w:w="28" w:type="dxa"/>
          <w:right w:w="28" w:type="dxa"/>
        </w:tblCellMar>
      </w:tblPr>
      <w:tblGrid>
        <w:gridCol w:w="2622"/>
        <w:gridCol w:w="2304"/>
        <w:gridCol w:w="2315"/>
        <w:gridCol w:w="109"/>
        <w:gridCol w:w="109"/>
        <w:gridCol w:w="109"/>
        <w:gridCol w:w="256"/>
        <w:gridCol w:w="748"/>
        <w:gridCol w:w="132"/>
        <w:gridCol w:w="109"/>
        <w:gridCol w:w="109"/>
        <w:gridCol w:w="109"/>
        <w:gridCol w:w="251"/>
        <w:gridCol w:w="735"/>
        <w:gridCol w:w="188"/>
      </w:tblGrid>
      <w:tr>
        <w:tc>
          <w:tcPr>
            <w:tcW w:w="2622"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c>
          <w:tcPr>
            <w:tcW w:w="7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10.625% senior secured notes due January 15, 2031 (Face value of $698.4 million and $700.0 million less unamortized issuance costs of $10.9 million and $12.8 million at September 30, 2026 and December 31, 2025, respectively)</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14" w:type="dxa"/>
        <w:jc w:val="left"/>
        <w:tblInd w:w="0" w:type="dxa"/>
        <w:tblLayout w:type="fixed"/>
        <w:tblCellMar>
          <w:top w:w="28" w:type="dxa"/>
          <w:left w:w="28" w:type="dxa"/>
          <w:bottom w:w="28" w:type="dxa"/>
          <w:right w:w="28" w:type="dxa"/>
        </w:tblCellMar>
      </w:tblPr>
      <w:tblGrid>
        <w:gridCol w:w="1058"/>
        <w:gridCol w:w="932"/>
        <w:gridCol w:w="1324"/>
      </w:tblGrid>
      <w:t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 xml:space="preserve">(i) </w:t>
            </w:r>
            <w:r>
              <w:rPr>
                <w:rFonts w:ascii="Times New Roman;serif" w:hAnsi="Times New Roman;serif"/>
                <w:b w:val="false"/>
                <w:color w:val="000000"/>
                <w:sz w:val="18"/>
              </w:rPr>
              <w:t>See Note 10 for the fair value of the notes.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Notes due 2031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completed a private placement offering of $700.0 million aggregate principal amount of its 10.625% Senior Secured Notes due 2031 (the 2031 Notes). The 2031 Notes pay interest semiannually on January 15 and July 15, and will mature on January 15, 2031, unless earlier repurchased or redeemed by the company. The 2031 Notes are fully and unconditionally guaranteed on a senior secured basis by Unisys Holding Corporation, Unisys AP Investment Company I and Unisys NPL, Inc., each a Delaware corporation that is directly or indirectly wholly owned by the company (the Subsidiary Guarantors).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repurchased $1.6 million of the 2031 Notes from the open market for $1.4 million. The company recorded a gain on debt extinguishment of $0.2 million, reported in other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2031 Notes is comprised of the following:</w:t>
      </w:r>
    </w:p>
    <w:tbl>
      <w:tblPr>
        <w:tblW w:w="9244"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319"/>
        <w:gridCol w:w="774"/>
        <w:gridCol w:w="165"/>
        <w:gridCol w:w="165"/>
        <w:gridCol w:w="165"/>
        <w:gridCol w:w="165"/>
        <w:gridCol w:w="319"/>
        <w:gridCol w:w="774"/>
        <w:gridCol w:w="165"/>
        <w:gridCol w:w="109"/>
        <w:gridCol w:w="109"/>
        <w:gridCol w:w="109"/>
        <w:gridCol w:w="309"/>
        <w:gridCol w:w="750"/>
        <w:gridCol w:w="160"/>
        <w:gridCol w:w="160"/>
        <w:gridCol w:w="160"/>
        <w:gridCol w:w="160"/>
        <w:gridCol w:w="309"/>
        <w:gridCol w:w="750"/>
        <w:gridCol w:w="226"/>
      </w:tblGrid>
      <w:t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Senior Secured Notes due 2027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2025, the company satisfied and discharged the indenture relating to the $485.0 million aggregate principal amount of the 6.875% Senior Secured Notes due November 1, 2027 (the 2027 Notes). The company paid an aggregate amount of $493.5 million, which was made up of the following: $485.0 million of principal amount, $3.0 million of early tender premium and $5.5 million of accrued but unpaid interest on the 2027 Notes to be redeemed to, but not including, the redemption date. In 2025, the company recorded a loss on debt extinguishment in relation to the satisfaction and discharge of the 2027 Notes of $7.0 million, reported in other (expense), net in the consolidated statements of income (loss), which included $4.0 million in unamortized debt issuance costs write-off and other expenses and an early tender premium of $3.0 million paid to repurchase a portion of the 2027 Notes.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3260"/>
                <wp:effectExtent l="0" t="0" r="0" b="0"/>
                <wp:wrapNone/>
                <wp:docPr id="19" name="Frame1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2027 Notes was comprised of the following:</w:t>
      </w:r>
    </w:p>
    <w:tbl>
      <w:tblPr>
        <w:tblW w:w="7026"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109"/>
        <w:gridCol w:w="109"/>
        <w:gridCol w:w="109"/>
        <w:gridCol w:w="109"/>
        <w:gridCol w:w="109"/>
        <w:gridCol w:w="109"/>
        <w:gridCol w:w="830"/>
        <w:gridCol w:w="2010"/>
        <w:gridCol w:w="610"/>
      </w:tblGrid>
      <w:t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r>
      <w:tr>
        <w:tc>
          <w:tcPr>
            <w:tcW w:w="2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coupon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Asset Based Lending (ABL)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secured revolving credit facility (the Amended and Restated ABL Credit Facility), which matures in June 2030. The Amended and Restated ABL Credit Facility provides for revolving loans and letters of credit up to an aggregate amount of $125.0 million (with a limit on letters of credit of $40.0 million), with an uncommitted accordion feature allowing for the aggregate amount available to be increased up to $155.0 million upon the satisfaction of certain specified conditions.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Amended and Restated ABL Credit Facility is subject to a borrowing base calculated by reference to the company’s receivables. At September 30, 2026, the company had no borrowings and $6.5 million of letters of credit outstanding. Availability under the Amended and Restated ABL Credit Facility was $89.1 million, net of letters of credit issued. Any borrowings under the Amended and Restated ABL Credit Facility will be subject to variable interest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Credit Facility is guaranteed by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Bank of America, N.A., as agent for the lenders under the credit facility.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2026, the company has met all covenants and conditions under its various lending and funding agreements. For at least the next 12 months, the company expects to continue to meet these covenants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14 - Litigation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wide range of lawsuits, claims, investigations and proceedings, which arise in the ordinary course of business, including actions with respect to commercial and government contracts, labor and employment, employee benefits, environmental matters, intellectual property and non-income tax matters. Further, given the rapidly evolving external landscape of cybersecurity, privacy, artificial intelligence, and data protection laws, regulations, threat actors, and heightened client expectations and demands, the company and its clients have been and will continue to be subject to actions or proceedings in various jurisdictions. These matters can involve a number of different parties, including competitors, clients, current or former employees, government and regulatory agencies, stockholders and representatives of the locations in which the company does business. Many of these matters are also highly complex and may seek recovery on behalf of a class or similarly large number of plaintiffs. It is therefore inherently difficult to predict the size or scope of potential future losses arising from these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a provision for these matters when it is both probable that a liability has been incurred and the amount of the loss can be reasonably estimated and a gain contingency when the award or recovery is realized or realizable. Significant judgment is required in both the determination of probability and the determination as to whether an exposure is reasonably estimable. Because of uncertainties related to these matters, accruals are based only on the best information available at the time. Any provisions are reviewed at least quarterly and are adjusted to reflect the impact and status of settlements, rulings, advice of counsel and other information and events pertinent to a particular matter. These adjustments could have a material impact on our results of operations and financial position.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defend itself vigorously with respect to any legal matters. Based on its experience, the company also believes that the damage amounts claimed against it in the matters disclosed below are not a meaningful indicator of the company’s potential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are inherently unpredictable and unfavorable resolutions have and could occur. 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company’s consolidated financial statements; and the unique facts and circumstances of the particular matter that may give rise to additional factors. Accordingly, it is possible that an adverse outcome from such matters could be material to the company’s financial condition, results of operations and cash flows in any particular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Notwithstanding that the ultimate results of the lawsuits, claims, investigations and proceedings that have been brought or asserted against the company are not currently determinable, the company believes that at September 30, 2026, it has adequate provisions for any such matters.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3260"/>
                <wp:effectExtent l="0" t="0" r="0" b="0"/>
                <wp:wrapNone/>
                <wp:docPr id="20" name="Frame2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more significant legal proceedings involving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September 30, 2026, excluding those matters that have been assessed by management as being remote as to the likelihood of ultimately resulting in a loss, the amount related to unreserved tax-related matters, inclusive of any related interest, is estimated to be approximately $27 million. In September 2026, the company entered into a tax settlement program in Brazil, which resolved two longstanding tax lawsuits and allowed the company to significantly reduce related penalty and interest claims. At September 30, 2026, the company had a reserve of approximately $7 million related to these matters, reported in current liabilities on the company’s consolidated balance sheets, which was subsequently paid in the fourth quarter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 Nonetheless, the company is unable to predict the outcome from such matters and it is possible that an adverse result could be material to the company’s financial conditions, results of operations and cash flows.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has an estimated environmental liability for a site that its predecessor company previously operated of approximately $18 million, of which $4 million is reported in other accrued liabilities and $14 million in other long-term liabilities on the company’s consolidated balance sheets. The company has an agreement related to this site, which provides for a partial reimbursement of certain costs when all cleanup work has been approved and finalized. As of September 30, 2026, the company expects to recover approximately $33 million, which is included in other long-term assets on the company’s consolidated balance sheets. As the company continues to perform investigation activities and if events and circumstances change, the company may incur future additional costs, which could have a material impact on the company’s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15 - Accumulated Other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is as follows:</w:t>
      </w:r>
    </w:p>
    <w:tbl>
      <w:tblPr>
        <w:tblW w:w="10205" w:type="dxa"/>
        <w:jc w:val="left"/>
        <w:tblInd w:w="0" w:type="dxa"/>
        <w:tblLayout w:type="fixed"/>
        <w:tblCellMar>
          <w:top w:w="28" w:type="dxa"/>
          <w:left w:w="28" w:type="dxa"/>
          <w:bottom w:w="28" w:type="dxa"/>
          <w:right w:w="28" w:type="dxa"/>
        </w:tblCellMar>
      </w:tblPr>
      <w:tblGrid>
        <w:gridCol w:w="1858"/>
        <w:gridCol w:w="1593"/>
        <w:gridCol w:w="1603"/>
        <w:gridCol w:w="109"/>
        <w:gridCol w:w="109"/>
        <w:gridCol w:w="109"/>
        <w:gridCol w:w="211"/>
        <w:gridCol w:w="835"/>
        <w:gridCol w:w="109"/>
        <w:gridCol w:w="109"/>
        <w:gridCol w:w="109"/>
        <w:gridCol w:w="109"/>
        <w:gridCol w:w="211"/>
        <w:gridCol w:w="690"/>
        <w:gridCol w:w="109"/>
        <w:gridCol w:w="109"/>
        <w:gridCol w:w="109"/>
        <w:gridCol w:w="109"/>
        <w:gridCol w:w="350"/>
        <w:gridCol w:w="1395"/>
        <w:gridCol w:w="260"/>
      </w:tblGrid>
      <w:tr>
        <w:tc>
          <w:tcPr>
            <w:tcW w:w="185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Pension and Postretirement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Plans</w:t>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1921"/>
        <w:gridCol w:w="1591"/>
        <w:gridCol w:w="1595"/>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c>
          <w:tcPr>
            <w:tcW w:w="192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Adjustment for substantial completion of liquidation of certain foreign subsidiaries</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Pension and postretirement plans</w:t>
            </w:r>
            <w:r>
              <w:rPr>
                <w:rFonts w:ascii="Times New Roman;serif" w:hAnsi="Times New Roman;serif"/>
                <w:b w:val="false"/>
                <w:color w:val="000000"/>
                <w:sz w:val="13"/>
              </w:rPr>
              <w:t>(ii)</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2028"/>
        <w:gridCol w:w="1787"/>
        <w:gridCol w:w="2529"/>
      </w:tblGrid>
      <w:tr>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r>
      <w:tr>
        <w:tc>
          <w:tcPr>
            <w:tcW w:w="6344" w:type="dxa"/>
            <w:gridSpan w:val="3"/>
            <w:tcBorders/>
            <w:tcMar>
              <w:top w:w="0" w:type="dxa"/>
              <w:left w:w="0" w:type="dxa"/>
              <w:bottom w:w="0" w:type="dxa"/>
              <w:right w:w="0" w:type="dxa"/>
            </w:tcMar>
            <w:vAlign w:val="center"/>
          </w:tcPr>
          <w:p>
            <w:pPr>
              <w:pStyle w:val="TableContents"/>
              <w:bidi w:val="0"/>
              <w:spacing w:lineRule="auto" w:line="240" w:before="40" w:after="283"/>
              <w:jc w:val="left"/>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Reported in other (expense), net in the consolidated statements of income (loss).</w:t>
            </w:r>
          </w:p>
        </w:tc>
      </w:tr>
      <w:tr>
        <w:tc>
          <w:tcPr>
            <w:tcW w:w="6344" w:type="dxa"/>
            <w:gridSpan w:val="3"/>
            <w:tcBorders/>
            <w:tcMar>
              <w:top w:w="0" w:type="dxa"/>
              <w:left w:w="0" w:type="dxa"/>
              <w:bottom w:w="0" w:type="dxa"/>
              <w:right w:w="0" w:type="dxa"/>
            </w:tcMar>
            <w:vAlign w:val="center"/>
          </w:tcPr>
          <w:p>
            <w:pPr>
              <w:pStyle w:val="TableContents"/>
              <w:bidi w:val="0"/>
              <w:spacing w:lineRule="auto" w:line="240" w:before="40" w:after="283"/>
              <w:jc w:val="left"/>
            </w:pPr>
            <w:r>
              <w:rPr>
                <w:rFonts w:ascii="Times New Roman;serif" w:hAnsi="Times New Roman;serif"/>
                <w:b w:val="false"/>
                <w:color w:val="000000"/>
                <w:sz w:val="12"/>
              </w:rPr>
              <w:t>(ii)</w:t>
            </w:r>
            <w:r>
              <w:rPr>
                <w:rFonts w:ascii="Times New Roman;serif" w:hAnsi="Times New Roman;serif"/>
                <w:b w:val="false"/>
                <w:color w:val="000000"/>
                <w:sz w:val="18"/>
              </w:rPr>
              <w:t>These items are included in net periodic pension and postretirement cost (see Note 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16 - Supplemental Cash Flow Information</w:t>
      </w:r>
    </w:p>
    <w:tbl>
      <w:tblPr>
        <w:tblW w:w="4749" w:type="dxa"/>
        <w:jc w:val="left"/>
        <w:tblInd w:w="0" w:type="dxa"/>
        <w:tblLayout w:type="fixed"/>
        <w:tblCellMar>
          <w:top w:w="28" w:type="dxa"/>
          <w:left w:w="28" w:type="dxa"/>
          <w:bottom w:w="28" w:type="dxa"/>
          <w:right w:w="28" w:type="dxa"/>
        </w:tblCellMar>
      </w:tblPr>
      <w:tblGrid>
        <w:gridCol w:w="982"/>
        <w:gridCol w:w="862"/>
        <w:gridCol w:w="871"/>
        <w:gridCol w:w="211"/>
        <w:gridCol w:w="511"/>
        <w:gridCol w:w="109"/>
        <w:gridCol w:w="109"/>
        <w:gridCol w:w="109"/>
        <w:gridCol w:w="109"/>
        <w:gridCol w:w="211"/>
        <w:gridCol w:w="511"/>
        <w:gridCol w:w="154"/>
      </w:tblGrid>
      <w:t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consolidated balance sheets to the total of the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450"/>
        <w:gridCol w:w="2133"/>
        <w:gridCol w:w="2145"/>
        <w:gridCol w:w="352"/>
        <w:gridCol w:w="1034"/>
        <w:gridCol w:w="184"/>
        <w:gridCol w:w="109"/>
        <w:gridCol w:w="109"/>
        <w:gridCol w:w="109"/>
        <w:gridCol w:w="339"/>
        <w:gridCol w:w="989"/>
        <w:gridCol w:w="252"/>
      </w:tblGrid>
      <w:tr>
        <w:tc>
          <w:tcPr>
            <w:tcW w:w="245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c>
          <w:tcPr>
            <w:tcW w:w="6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c>
          <w:tcPr>
            <w:tcW w:w="6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consolidated statements of cash flows</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subject to contractual restrictions, and are therefore not readily available, are classified as restricted cash. At September 30, 2026, the company maintains cash balances in various operating accounts in excess of federally insured limits. The company monitors this risk by evaluating the creditworthiness of the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17 - 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as follows: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Digital Workplace Solutions (DWS), which provides workplace solutions featuring intelligent workplace services, proactive experience management and collaboration tools to support business growth;</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Cloud, Applications &amp; Infrastructure Solutions (CA&amp;I), which provides digital transformation in the areas of cloud migration and management, applications and infrastructure transformation and modernization solutions; and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Enterprise Computing Solutions (ECS), which provides solutions that harness secure, high-intensity enterprise computing and enable digital services through software-defined operating environments.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3260"/>
                <wp:effectExtent l="0" t="0" r="0" b="0"/>
                <wp:wrapNone/>
                <wp:docPr id="22" name="Frame2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segment structure reflects the financial information used by the company’s chief operating decision maker (CODM) to make decisions regarding the company’s business, including resource allocations and performance assessments, as well as the current operating focus.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CODM evaluates the performance of the segments based on segment revenue and segment gross profit. The company’s CODM regularly reviews cost of revenues by segment and treats it as a significant segment expense. Segment revenue and segment gross profit are exclusive of certain activities and expenses that are not allocated to specific segments and reported in Other as described below. The company does not report assets by reportable segments as this information is not reviewed by the CODM on a regular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as presented in the reconciliation tables below, includes revenue and cost of revenue associated with the company’s United Kingdom business process outsourcing consolidated joint venture, which is a non-core business activity. Additionally, Other includes certain expenses within cost of revenue such as cost reduction charges, amortization of purchased intangibles and unusual and nonrecurring items that are not allocated to specific segments. These amounts are combined within other revenue and other gross profit (loss) to arrive at total consolidated revenue and total consolidated gross profit (loss) as reported in the reconciliations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financial information by reportable segments:</w:t>
      </w:r>
    </w:p>
    <w:tbl>
      <w:tblPr>
        <w:tblW w:w="8959" w:type="dxa"/>
        <w:jc w:val="left"/>
        <w:tblInd w:w="0" w:type="dxa"/>
        <w:tblLayout w:type="fixed"/>
        <w:tblCellMar>
          <w:top w:w="28" w:type="dxa"/>
          <w:left w:w="28" w:type="dxa"/>
          <w:bottom w:w="28" w:type="dxa"/>
          <w:right w:w="28" w:type="dxa"/>
        </w:tblCellMar>
      </w:tblPr>
      <w:tblGrid>
        <w:gridCol w:w="1304"/>
        <w:gridCol w:w="1146"/>
        <w:gridCol w:w="1149"/>
        <w:gridCol w:w="109"/>
        <w:gridCol w:w="109"/>
        <w:gridCol w:w="109"/>
        <w:gridCol w:w="270"/>
        <w:gridCol w:w="790"/>
        <w:gridCol w:w="13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left"/>
        <w:tblInd w:w="0" w:type="dxa"/>
        <w:tblLayout w:type="fixed"/>
        <w:tblCellMar>
          <w:top w:w="28" w:type="dxa"/>
          <w:left w:w="28" w:type="dxa"/>
          <w:bottom w:w="28" w:type="dxa"/>
          <w:right w:w="28" w:type="dxa"/>
        </w:tblCellMar>
      </w:tblPr>
      <w:tblGrid>
        <w:gridCol w:w="1261"/>
        <w:gridCol w:w="1108"/>
        <w:gridCol w:w="1111"/>
        <w:gridCol w:w="109"/>
        <w:gridCol w:w="109"/>
        <w:gridCol w:w="109"/>
        <w:gridCol w:w="233"/>
        <w:gridCol w:w="847"/>
        <w:gridCol w:w="120"/>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Presented below is a reconciliation of total segment revenue to total consolidated revenue:</w:t>
      </w:r>
    </w:p>
    <w:tbl>
      <w:tblPr>
        <w:tblW w:w="7736"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83260"/>
                <wp:effectExtent l="0" t="0" r="0" b="0"/>
                <wp:wrapNone/>
                <wp:docPr id="23" name="Frame2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Presented below is a reconciliation of total segment gross profit to consolidated income (loss) before income taxes:</w:t>
      </w:r>
    </w:p>
    <w:tbl>
      <w:tblPr>
        <w:tblW w:w="9057" w:type="dxa"/>
        <w:jc w:val="left"/>
        <w:tblInd w:w="0" w:type="dxa"/>
        <w:tblLayout w:type="fixed"/>
        <w:tblCellMar>
          <w:top w:w="28" w:type="dxa"/>
          <w:left w:w="28" w:type="dxa"/>
          <w:bottom w:w="28" w:type="dxa"/>
          <w:right w:w="28" w:type="dxa"/>
        </w:tblCellMar>
      </w:tblPr>
      <w:tblGrid>
        <w:gridCol w:w="1325"/>
        <w:gridCol w:w="1163"/>
        <w:gridCol w:w="1172"/>
        <w:gridCol w:w="109"/>
        <w:gridCol w:w="109"/>
        <w:gridCol w:w="10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Geographic information about the company’s revenue, which is principally based on location of the selling organization, is presented below:</w:t>
      </w:r>
    </w:p>
    <w:tbl>
      <w:tblPr>
        <w:tblW w:w="6882" w:type="dxa"/>
        <w:jc w:val="left"/>
        <w:tblInd w:w="0" w:type="dxa"/>
        <w:tblLayout w:type="fixed"/>
        <w:tblCellMar>
          <w:top w:w="28" w:type="dxa"/>
          <w:left w:w="28" w:type="dxa"/>
          <w:bottom w:w="28" w:type="dxa"/>
          <w:right w:w="28" w:type="dxa"/>
        </w:tblCellMar>
      </w:tblPr>
      <w:tblGrid>
        <w:gridCol w:w="536"/>
        <w:gridCol w:w="471"/>
        <w:gridCol w:w="478"/>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3260"/>
                <wp:effectExtent l="0" t="0" r="0" b="0"/>
                <wp:wrapNone/>
                <wp:docPr id="24" name="Frame2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ind w:left="0" w:right="0" w:hanging="900"/>
        <w:jc w:val="left"/>
        <w:rPr>
          <w:rFonts w:ascii="Times New Roman;serif" w:hAnsi="Times New Roman;serif"/>
          <w:b/>
          <w:color w:val="000000"/>
          <w:sz w:val="28"/>
        </w:rPr>
      </w:pPr>
      <w:r>
        <w:rPr>
          <w:rFonts w:ascii="Times New Roman;serif" w:hAnsi="Times New Roman;serif"/>
          <w:b/>
          <w:color w:val="000000"/>
          <w:sz w:val="28"/>
        </w:rPr>
        <w:t>Item 2. Management’s Discussion and Analysis of Financial Condition and Results of Operations</w:t>
      </w:r>
    </w:p>
    <w:p>
      <w:pPr>
        <w:pStyle w:val="TextBody"/>
        <w:bidi w:val="0"/>
        <w:spacing w:lineRule="auto" w:line="26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should be read in conjunction with the consolidated financial statements and the related notes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company reported net loss attributable to Unisys Corporation of $201.0 million, or $2.76 per diluted share, compared with a loss of $308.9 million, or $4.33 per diluted share, for the three months ended September 30, 2025. The net loss for the three months ended September 30, 2026 and 2025 included U.S. pension plan settlement losses net of tax of $151.2 million and $227.7 million, respectively. Additionally, for the three months ended September 30, 2025, the net loss attributable to Unisys Corporation included a goodwill impairment charge of $55.0 million, related to the Digital Workplace Solutions (DWS) reportable segment.</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2026, the company reported net loss attributable to Unisys Corporation of $332.1 million, or $4.58 per diluted share, compared with a loss of $358.5 million, or $5.06 per diluted share, for the nine months ended September 30, 2025. The net loss for the nine months ended September 30, 2026 and 2025 included U.S. pension plan settlement losses net of tax of $151.2 million and $227.7 million, respectively. Additionally, the net loss for the nine months ended September 30, 2026 and 2025 included goodwill impairment charges of $47.2 million and $55.0 million, respectively, related to the DWS reportable segment. </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In September 2026, the company purchased a group annuity contract, with plan assets, to transfer to a third-party issuer approximately $200 million of projected U.S. defined benefit pension liabilities. This action resulted in a pre-tax settlement loss of $151.2 million for both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Company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September 30, 2026 compared with the three months ended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for the three months ended September 30, 2026 was $471.5 million compared with $460.2 million for the three months ended September 30, 2025, an increase of 2.5%. Foreign currency fluctuations had a 2 percentage-point positive impact on revenue in the current period compared with the prior-year period.</w:t>
      </w:r>
    </w:p>
    <w:p>
      <w:pPr>
        <w:pStyle w:val="TextBody"/>
        <w:bidi w:val="0"/>
        <w:spacing w:lineRule="auto" w:line="268" w:before="100" w:after="283"/>
        <w:jc w:val="left"/>
      </w:pPr>
      <w:r>
        <w:rPr>
          <w:rFonts w:ascii="Times New Roman;serif" w:hAnsi="Times New Roman;serif"/>
          <w:b w:val="false"/>
          <w:color w:val="000000"/>
          <w:sz w:val="20"/>
        </w:rPr>
        <w:t>Effective in the second quarter of 2026, the company updated the naming conventions used to describe certain solution groupings to better reflect the nature of its offerings. The company renamed License and Support to ClearPath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Excluding License and Support to Technology Solutions &amp; Services (TS&amp;S). These changes did not impact the company’s reportable segments, the recognition or measurement of revenue and expenses or the consolidated financial statements. As such, previously reported financial information has not been adjusted.</w:t>
      </w:r>
    </w:p>
    <w:p>
      <w:pPr>
        <w:pStyle w:val="TextBody"/>
        <w:bidi w:val="0"/>
        <w:spacing w:lineRule="auto" w:line="288" w:before="120" w:after="283"/>
        <w:jc w:val="left"/>
      </w:pPr>
      <w:r>
        <w:rPr>
          <w:rFonts w:ascii="Times New Roman;serif" w:hAnsi="Times New Roman;serif"/>
          <w:b w:val="false"/>
          <w:color w:val="000000"/>
          <w:sz w:val="20"/>
        </w:rPr>
        <w:t>ClearPath represents software license and related support services, primarily ClearPath Forward</w:t>
      </w:r>
      <w:r>
        <w:rPr>
          <w:rFonts w:ascii="Times New Roman;serif" w:hAnsi="Times New Roman;serif"/>
          <w:b w:val="false"/>
          <w:color w:val="000000"/>
          <w:sz w:val="13"/>
        </w:rPr>
        <w:t>TM</w:t>
      </w:r>
      <w:r>
        <w:rPr>
          <w:rFonts w:ascii="Times New Roman;serif" w:hAnsi="Times New Roman;serif"/>
          <w:b w:val="false"/>
          <w:color w:val="000000"/>
          <w:sz w:val="20"/>
        </w:rPr>
        <w:t>, within the company's Enterprise Computing Solutions (ECS) segment. Software license renewals tend to be significant and impactful to revenue and gross profit based on timing, which can fluctuate considerably from quarter to quarter. For the three months ended September 30, 2026, ClearPath revenue was $84.4 million compared to $83.0 million for the three months ended September 30, 2025, an increase of 1.7%. Foreign currency fluctuations had a 3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measures include the revenue, gross profit and gross profit margin of the company’s DWS segment, Cloud, Applications &amp; Infrastructure Solutions (CA&amp;I) segment and ECS segment, excluding ClearPath software license and support services. TS&amp;S revenue for the three months ended September 30, 2026 was $387.1 million compared with $377.2 million for the three months ended September 30, 2025, an increase of 2.6%. Foreign currency fluctuations had a 2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company recognized net cost-reduction charges related to workforce reductions of $4.2 million, compared with net charges of $1.0 million for the three months ended September 30, 2025. Additionally, during the three months ended September 30, 2026, the company recorded lease abandonment charges and other costs related to cost-reduction efforts of $2.6 million. See Note 3 of the Notes to Consolidated Financial Statements for details of the cost reductions actions.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83260"/>
                <wp:effectExtent l="0" t="0" r="0" b="0"/>
                <wp:wrapNone/>
                <wp:docPr id="25" name="Frame2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related to cost reduction actions were recorded in the following statement of income (loss) classifications:</w:t>
      </w:r>
    </w:p>
    <w:tbl>
      <w:tblPr>
        <w:tblW w:w="6430" w:type="dxa"/>
        <w:jc w:val="left"/>
        <w:tblInd w:w="0" w:type="dxa"/>
        <w:tblLayout w:type="fixed"/>
        <w:tblCellMar>
          <w:top w:w="28" w:type="dxa"/>
          <w:left w:w="28" w:type="dxa"/>
          <w:bottom w:w="28" w:type="dxa"/>
          <w:right w:w="28" w:type="dxa"/>
        </w:tblCellMar>
      </w:tblPr>
      <w:tblGrid>
        <w:gridCol w:w="1072"/>
        <w:gridCol w:w="938"/>
        <w:gridCol w:w="945"/>
        <w:gridCol w:w="109"/>
        <w:gridCol w:w="109"/>
        <w:gridCol w:w="109"/>
        <w:gridCol w:w="303"/>
        <w:gridCol w:w="584"/>
        <w:gridCol w:w="157"/>
        <w:gridCol w:w="157"/>
        <w:gridCol w:w="157"/>
        <w:gridCol w:w="157"/>
        <w:gridCol w:w="303"/>
        <w:gridCol w:w="692"/>
        <w:gridCol w:w="157"/>
        <w:gridCol w:w="109"/>
        <w:gridCol w:w="109"/>
        <w:gridCol w:w="109"/>
        <w:gridCol w:w="154"/>
      </w:tblGrid>
      <w:t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and gross profit margin were $126.0 million and 26.7% for the three months ended September 30, 2026, respectively, compared with $117.2 million and 25.5% for the three months ended September 30, 2025, respectively. The increases were primarily driven by a higher mix of software licenses relative to hardware within ClearPath renewals, partially offset by higher cost reduction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 and gross profit margin were $64.3 million and 16.6%, respectively, for the three months ended September 30, 2026, compared with $70.2 million and 18.6% for the three months ended September 30, 2025, respectively. The decreases were primarily driven by higher cost reduction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during the three months ended September 30, 2026, gross profit margin and TS&amp;S gross profit margin benefited by approximately 50 and 70 basis points, respectively, from a first quarter transaction within the company’s United Kingdom business process outsourcing consolidated joint venture. This transaction is expected to generate gross margin benefit of approximately $3 million quarterly and $12 million for full-year 2026. The financial impact of this transaction will be fully recognized by year 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 the three months ended September 30, 2026 was $95.1 million (20.2% of revenue) compared with $90.9 million (19.8% of revenue) for the three months ended September 30, 2025. The increase was primarily attributable to higher cost reduction charges and higher professional services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for the three months ended September 30, 2026 and 2025 was $7.2 million and $4.8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the company reported an operating profit of $23.7 million compared with an operating loss of $33.5 million in the three months ended September 30, 2025. For the three months ended September 30, 2025, the operating loss included a goodwill impairment charge of $55.0 million related to the DWS reportable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September 30, 2026 and 2025 was $19.0 million and $18.2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was expense of $183.2 million for the three months ended September 30, 2026, compared with expense of $241.2 million for the three months ended September 30, 2025. Other (expense), net for the three months ended September 30, 2026 and 2025 included U.S. pension plan settlement losses of $151.2 million and $227.7 million, respectively. See Note 6 of the Notes to Consolidated Financial Statements for details of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loss before income taxes for the three months ended September 30, 2026 was $178.5 million, compared with a loss of $292.9 million for the three months ended September 30, 2025. The loss before income taxes for the three months ended September 30, 2026 and 2025 included U.S. pension plan settlement losses of $151.2 million and $227.7 million, respectively. Additionally, the loss before income taxes for the three months ended September 30, 2025 included a goodwill impairment charge of $55.0 million related to the DWS reportable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$21.8 million for the three months ended September 30, 2026, compared with a provision of $16.3 million for the three months ended September 30, 2025. The change in the tax provision was primarily driven by the geographic distribution of income. The effective tax rate for the three months ended September 30, 2026 and 2025 was (12.2)% and (5.6)%, respectively, primarily driven by U.S. operating losses with no tax benefit as the deferred tax assets are subject to a full valuation allowance, non-creditable withholding taxes in the U.S., and jurisdictions with no valuation allowance that are subject to tax.</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83260"/>
                <wp:effectExtent l="0" t="0" r="0" b="0"/>
                <wp:wrapNone/>
                <wp:docPr id="26" name="Frame2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realization of the company’s net deferred tax assets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 for the three months ended September 30, 2026 was $201.0 million, or $2.76 per diluted share, compared with a net loss of $308.9 million, or $4.33 per diluted share, for the three months ended September 30, 2025. The net loss for the three months ended September 30, 2026 and 2025 included U.S. pension plan settlement losses net of tax of $151.2 million and $227.7 million, respectively. Additionally, the net loss attributable to Unisys Corporation for the three months ended September 30, 2025 included a goodwill impairment charge of $55.0 million related to the DWS reportable segment.</w:t>
      </w:r>
    </w:p>
    <w:p>
      <w:pPr>
        <w:pStyle w:val="TextBody"/>
        <w:bidi w:val="0"/>
        <w:spacing w:lineRule="auto" w:line="268" w:before="100" w:after="283"/>
        <w:jc w:val="left"/>
        <w:rPr>
          <w:rFonts w:ascii="Times New Roman;serif" w:hAnsi="Times New Roman;serif"/>
          <w:b/>
          <w:i/>
          <w:color w:val="000000"/>
          <w:sz w:val="20"/>
        </w:rPr>
      </w:pPr>
      <w:r>
        <w:rPr>
          <w:rFonts w:ascii="Times New Roman;serif" w:hAnsi="Times New Roman;serif"/>
          <w:b/>
          <w:i/>
          <w:color w:val="000000"/>
          <w:sz w:val="20"/>
        </w:rPr>
        <w:t>Nine months ended September 30, 2026 compared with the nine months ended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for the nine months ended September 30, 2026 was $1,382.6 million compared with $1,375.6 million for the nine months ended September 30, 2025, an increase of 0.5%. Foreign currency fluctuations had a 4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ClearPath revenue was $219.6 million compared to $241.7 million for the nine months ended September 30, 2025, a decrease of 9.1%. The decrease was primarily driven by the timing of ClearPath license renewals. Foreign currency fluctuations had a 3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TS&amp;S revenue for the nine months ended September 30, 2026 was $1,163.0 million compared with $1,133.9 million for the nine months ended September 30, 2025, an increase of 2.6%. Foreign currency fluctuations had a 4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recognized net cost-reduction charges related to workforce reductions of $9.0 million, compared with net charges of $2.2 million for the nine months ended September 30, 2025. Additionally, during the nine months ended September 30, 2026, the company recorded lease abandonment charges and other costs relating to cost reduction efforts of $5.4 million. During the nine months ended September 30, 2025, the company recorded an asset write-off and other costs related to cost reduction charges of $3.5 million. See Note 3 of the Notes to Consolidated Financial Statements for details of the cost reductions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were recorded in the following statement of income (loss) classifications:</w:t>
      </w:r>
    </w:p>
    <w:tbl>
      <w:tblPr>
        <w:tblW w:w="5936" w:type="dxa"/>
        <w:jc w:val="left"/>
        <w:tblInd w:w="0" w:type="dxa"/>
        <w:tblLayout w:type="fixed"/>
        <w:tblCellMar>
          <w:top w:w="28" w:type="dxa"/>
          <w:left w:w="28" w:type="dxa"/>
          <w:bottom w:w="28" w:type="dxa"/>
          <w:right w:w="28" w:type="dxa"/>
        </w:tblCellMar>
      </w:tblPr>
      <w:tblGrid>
        <w:gridCol w:w="1072"/>
        <w:gridCol w:w="938"/>
        <w:gridCol w:w="945"/>
        <w:gridCol w:w="109"/>
        <w:gridCol w:w="109"/>
        <w:gridCol w:w="109"/>
        <w:gridCol w:w="290"/>
        <w:gridCol w:w="703"/>
        <w:gridCol w:w="150"/>
        <w:gridCol w:w="150"/>
        <w:gridCol w:w="150"/>
        <w:gridCol w:w="150"/>
        <w:gridCol w:w="290"/>
        <w:gridCol w:w="559"/>
        <w:gridCol w:w="212"/>
      </w:tblGrid>
      <w:t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September 30,</w:t>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and gross profit margin were $355.8 million and 25.7% for the nine months ended September 30, 2026, respectively, compared with $354.7 million and 25.8% for the nine months ended September 30, 2025,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TS&amp;S gross profit and gross profit margin were $214.8 million and 18.5%, respectively, for the nine months ended September 30, 2026, compared with $204.1 million and 18.0% for the nine months ended September 30, 2025,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gross profit margin and TS&amp;S gross profit margin benefited by approximately 50 and 70 basis points, respectively, from a first quarter transaction within the company’s United Kingdom business process outsourcing consolidated joint venture.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 the nine months ended September 30, 2026 was $282.3 million (20.4% of revenue) compared with $281.3 million (20.4% of revenue) in the prior-year period.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83260"/>
                <wp:effectExtent l="0" t="0" r="0" b="0"/>
                <wp:wrapNone/>
                <wp:docPr id="27" name="Frame2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for the nine months ended September 30, 2026 and 2025 was $17.8 million and $16.5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the company reported an operating profit of $7.0 million, which included a goodwill impairment charge of $47.2 million, compared with an operating profit of $1.9 million for the prior-year period, which included a goodwill impairment charge of $55.0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for the nine months ended September 30, 2026 was $55.8 million compared with $34.6 million for the nine months ended September 30, 2025. The increase was primarily due to increased long-term debt balance and higher interest rate following the issuance of $700.0 million aggregate principal amount of the 10.625% Senior Secured Notes due 2031 (the 2031 Notes) in June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was expense of $232.6 million for the nine months ended September 30, 2026, compared with expense of $280.2 million for the nine months ended September 30, 2025. Other (expense), net for the nine months ended September 30, 2026 and 2025 included U.S. pension plan settlement losses of $151.2 million and $227.7 million, respectively. See Note 6 of the Notes to Consolidated Financial Statements for details of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loss before income taxes for the nine months ended September 30, 2026 was $281.4 million compared with a loss of $312.9 million for the nine months ended September 30, 2025. For the nine months ended September 30, 2026, the loss before income taxes included $151.2 million of a U.S. pension plan settlement loss and a goodwill impairment charge of $47.2 million. For the nine months ended September 30, 2025, the loss before income taxes included $227.7 million of a U.S. pension plan settlement loss and a goodwill impairment charge of $55.0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$51.3 million for the nine months ended September 30, 2026, compared with a provision of $46.9 million for the nine months ended September 30, 2025. The change in the tax provision was driven by the geographic distribution of income. The effective tax rate for the nine months ended September 30, 2026 and 2025 was (18.2)% and (15.0)%, respectively,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 for the nine months ended September 30, 2026 was $332.1 million, or $4.58 per diluted share, compared with a net loss of $358.5 million, or $5.06 per diluted share, for the nine months ended September 30, 2025. For the nine months ended September 30, 2026, the net loss attributable to Unisys Corporation included a U.S pension plan settlement loss net of tax of $151.2 million and a goodwill impairment charge of $47.2 million. For the nine months ended September 30, 2025, the net loss attributable to Unisys Corporation included a U.S pension plan settlement loss net of tax of $227.7 million and a goodwill impairment charge of $55.0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ClearPath and TS&amp;S financial measures:</w:t>
      </w:r>
    </w:p>
    <w:tbl>
      <w:tblPr>
        <w:tblW w:w="10205" w:type="dxa"/>
        <w:jc w:val="left"/>
        <w:tblInd w:w="0" w:type="dxa"/>
        <w:tblLayout w:type="fixed"/>
        <w:tblCellMar>
          <w:top w:w="28" w:type="dxa"/>
          <w:left w:w="28" w:type="dxa"/>
          <w:bottom w:w="28" w:type="dxa"/>
          <w:right w:w="28" w:type="dxa"/>
        </w:tblCellMar>
      </w:tblPr>
      <w:tblGrid>
        <w:gridCol w:w="1377"/>
        <w:gridCol w:w="1213"/>
        <w:gridCol w:w="1216"/>
        <w:gridCol w:w="109"/>
        <w:gridCol w:w="109"/>
        <w:gridCol w:w="109"/>
        <w:gridCol w:w="240"/>
        <w:gridCol w:w="702"/>
        <w:gridCol w:w="308"/>
        <w:gridCol w:w="124"/>
        <w:gridCol w:w="124"/>
        <w:gridCol w:w="124"/>
        <w:gridCol w:w="240"/>
        <w:gridCol w:w="702"/>
        <w:gridCol w:w="308"/>
        <w:gridCol w:w="109"/>
        <w:gridCol w:w="109"/>
        <w:gridCol w:w="109"/>
        <w:gridCol w:w="211"/>
        <w:gridCol w:w="766"/>
        <w:gridCol w:w="271"/>
        <w:gridCol w:w="109"/>
        <w:gridCol w:w="109"/>
        <w:gridCol w:w="109"/>
        <w:gridCol w:w="211"/>
        <w:gridCol w:w="766"/>
        <w:gridCol w:w="321"/>
      </w:tblGrid>
      <w:t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r>
      <w:tr>
        <w:tc>
          <w:tcPr>
            <w:tcW w:w="38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as follows: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Digital Workplace Solutions (DWS), which provides workplace solutions featuring intelligent workplace services, proactive experience management and collaboration tools to support business growth;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83260"/>
                <wp:effectExtent l="0" t="0" r="0" b="0"/>
                <wp:wrapNone/>
                <wp:docPr id="28" name="Frame2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Cloud, Applications &amp; Infrastructure Solutions (CA&amp;I), which provides digital transformation in the areas of cloud migration and management, applications and infrastructure transformation and modernization solutions;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Enterprise Computing Solutions (ECS), which provides solutions that harness secure, high-intensity enterprise computing and enable digital services through software-defined operating environments.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the performance of the segments based on segment revenue and segment gross profit. Segment revenue and segment gross profit are exclusive of certain activities and expenses that are not allocated to specific segments including the business activities related to the company’s United Kingdom business process outsourcing consolidated joint venture and certain expenses such as cost reduction charges, amortization of purchased intangibles and unusual and nonrecurring items that are not allocated to specific segments. These amounts are combined within other revenue and other gross profit (loss) to arrive at consolidated revenue and consolidated gross profit (loss). See Note 17 of the Notes to Consolidated Financial Statements for the reconciliations of segment revenue to total consolidated revenue and segment gross profit to total consolidated loss before income taxes.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September 30, 2026 compared with the three months ended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operations by segment is presented below:</w:t>
      </w:r>
    </w:p>
    <w:tbl>
      <w:tblPr>
        <w:tblW w:w="10205" w:type="dxa"/>
        <w:jc w:val="left"/>
        <w:tblInd w:w="0" w:type="dxa"/>
        <w:tblLayout w:type="fixed"/>
        <w:tblCellMar>
          <w:top w:w="28" w:type="dxa"/>
          <w:left w:w="28" w:type="dxa"/>
          <w:bottom w:w="28" w:type="dxa"/>
          <w:right w:w="28" w:type="dxa"/>
        </w:tblCellMar>
      </w:tblPr>
      <w:tblGrid>
        <w:gridCol w:w="1581"/>
        <w:gridCol w:w="1393"/>
        <w:gridCol w:w="1396"/>
        <w:gridCol w:w="109"/>
        <w:gridCol w:w="109"/>
        <w:gridCol w:w="109"/>
        <w:gridCol w:w="227"/>
        <w:gridCol w:w="665"/>
        <w:gridCol w:w="292"/>
        <w:gridCol w:w="109"/>
        <w:gridCol w:w="109"/>
        <w:gridCol w:w="109"/>
        <w:gridCol w:w="211"/>
        <w:gridCol w:w="616"/>
        <w:gridCol w:w="271"/>
        <w:gridCol w:w="109"/>
        <w:gridCol w:w="109"/>
        <w:gridCol w:w="109"/>
        <w:gridCol w:w="211"/>
        <w:gridCol w:w="616"/>
        <w:gridCol w:w="271"/>
        <w:gridCol w:w="109"/>
        <w:gridCol w:w="109"/>
        <w:gridCol w:w="109"/>
        <w:gridCol w:w="211"/>
        <w:gridCol w:w="616"/>
        <w:gridCol w:w="320"/>
      </w:tblGrid>
      <w:tr>
        <w:tc>
          <w:tcPr>
            <w:tcW w:w="158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DWS revenue was $130.2 million for the three months ended September 30, 2026 and $125.3 million for the three months ended September 30, 2025, an increase of 3.9%. The increase in revenue was primarily driven by higher hardware revenue. Foreign currency fluctuations had a 2 percentage-point positive impact on DWS revenue in the current period compared with the prior-year period. Gross profit percent was 9.5% in the current period compared with 16.2% in the prior-year period. The decrease in gross profit percent was primarily due to known client attrition, and increased implementation and delivery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CA&amp;I revenue was $180.3 million for the three months ended September 30, 2026 and $180.4 million for the three months ended September 30, 2025, a decrease of 0.1%. Foreign currency fluctuations had a 1 percentage-point positive impact on CA&amp;I revenue in the current period compared with the prior-year period. Gross profit percent was 20.6% in the current period compared with 19.6% in the prior-year period. The increase in gross profit percent was primarily driven by delivery improvements.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ECS revenue was $140.6 million for the three months ended September 30, 2026 and $133.2 million for the three months ended September 30, 2025, an increase of 5.6%. The increase in revenue was primarily driven by higher specialized project work in the business processing solutions. Foreign currency fluctuations had a 3 percentage-point positive impact on ECS revenue in the current period compared with the prior-year period. Gross profit percent was 55.5% in the current period compared with 46.2% in the prior-year period. The increase in gross profit percent was primarily driven by a higher mix of software licenses relative to hardware within ClearPath renewals.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83260"/>
                <wp:effectExtent l="0" t="0" r="0" b="0"/>
                <wp:wrapNone/>
                <wp:docPr id="29" name="Frame2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Nine months ended September 30, 2026 compared with the nine months ended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operations by segment is presented below:</w:t>
      </w:r>
    </w:p>
    <w:tbl>
      <w:tblPr>
        <w:tblW w:w="10205" w:type="dxa"/>
        <w:jc w:val="left"/>
        <w:tblInd w:w="0" w:type="dxa"/>
        <w:tblLayout w:type="fixed"/>
        <w:tblCellMar>
          <w:top w:w="28" w:type="dxa"/>
          <w:left w:w="28" w:type="dxa"/>
          <w:bottom w:w="28" w:type="dxa"/>
          <w:right w:w="28" w:type="dxa"/>
        </w:tblCellMar>
      </w:tblPr>
      <w:tblGrid>
        <w:gridCol w:w="1559"/>
        <w:gridCol w:w="1373"/>
        <w:gridCol w:w="1377"/>
        <w:gridCol w:w="109"/>
        <w:gridCol w:w="109"/>
        <w:gridCol w:w="109"/>
        <w:gridCol w:w="211"/>
        <w:gridCol w:w="76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c>
          <w:tcPr>
            <w:tcW w:w="15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4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DWS revenue was $390.3 million for the nine months ended September 30, 2026 and $382.0 million for the nine months ended September 30, 2025, an increase of 2.2%. Foreign currency fluctuations had a 4 percentage-point positive impact on DWS revenue in the current period compared with the prior-year period. Gross profit percent was 11.2% in the current period compared with 15.9% in the prior-year period. The decrease in gross profit percent was primarily due to known client attrition, and increased implementation and delivery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CA&amp;I revenue was $546.7 million for the nine months ended September 30, 2026 and $542.2 million for the nine months ended September 30, 2025, an increase of 0.8%. Foreign currency fluctuations had a 3 percentage-point positive impact on CA&amp;I revenue in the current period compared with the prior-year period. Gross profit percent was 22.5% in the current period compared with 20.0% in the prior-year period. The increase in gross profit percent was primarily driven by delivery improvements.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ECS revenue was $381.8 million for the nine months ended September 30, 2026 and $392.1 million for the nine months ended September 30, 2025, a decrease of 2.6%. The decrease in revenue was primarily driven by the timing of ClearPath license renewals. Foreign currency fluctuations had a 4 percentage-point positive impact on ECS revenue in the current period compared with the prior-year period. Gross profit percent was 49.4% in the current period compared with 49.3% in the prior-year period.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Total Contract Value and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Contract Value (TCV) represents the initial estimated revenue related to contracts signed in the period without regard for early termination or revenue recognition rules. Changes to contracts and scope are treated as TCV only to the extent of the incremental new value. New Business TCV represents TCV attributable to expansion and new scope for existing clients and new logo contracts. ClearPath TCV is driven by software license renewals, and as such, changes in timing or terms of renewals can lead to fluctuations from period to period.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represents the estimated amount of future revenue to be recognized under contracted work, which has not yet been delivered or performed.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TCV metrics.</w:t>
      </w:r>
    </w:p>
    <w:tbl>
      <w:tblPr>
        <w:tblW w:w="10205" w:type="dxa"/>
        <w:jc w:val="left"/>
        <w:tblInd w:w="0" w:type="dxa"/>
        <w:tblLayout w:type="fixed"/>
        <w:tblCellMar>
          <w:top w:w="28" w:type="dxa"/>
          <w:left w:w="28" w:type="dxa"/>
          <w:bottom w:w="28" w:type="dxa"/>
          <w:right w:w="28" w:type="dxa"/>
        </w:tblCellMar>
      </w:tblPr>
      <w:tblGrid>
        <w:gridCol w:w="880"/>
        <w:gridCol w:w="775"/>
        <w:gridCol w:w="777"/>
        <w:gridCol w:w="109"/>
        <w:gridCol w:w="109"/>
        <w:gridCol w:w="109"/>
        <w:gridCol w:w="258"/>
        <w:gridCol w:w="571"/>
        <w:gridCol w:w="133"/>
        <w:gridCol w:w="133"/>
        <w:gridCol w:w="133"/>
        <w:gridCol w:w="133"/>
        <w:gridCol w:w="258"/>
        <w:gridCol w:w="571"/>
        <w:gridCol w:w="133"/>
        <w:gridCol w:w="109"/>
        <w:gridCol w:w="109"/>
        <w:gridCol w:w="109"/>
        <w:gridCol w:w="210"/>
        <w:gridCol w:w="210"/>
        <w:gridCol w:w="526"/>
        <w:gridCol w:w="109"/>
        <w:gridCol w:w="109"/>
        <w:gridCol w:w="109"/>
        <w:gridCol w:w="211"/>
        <w:gridCol w:w="616"/>
        <w:gridCol w:w="109"/>
        <w:gridCol w:w="109"/>
        <w:gridCol w:w="109"/>
        <w:gridCol w:w="109"/>
        <w:gridCol w:w="211"/>
        <w:gridCol w:w="616"/>
        <w:gridCol w:w="109"/>
        <w:gridCol w:w="109"/>
        <w:gridCol w:w="109"/>
        <w:gridCol w:w="109"/>
        <w:gridCol w:w="202"/>
        <w:gridCol w:w="202"/>
        <w:gridCol w:w="593"/>
      </w:tblGrid>
      <w:tr>
        <w:tc>
          <w:tcPr>
            <w:tcW w:w="88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c>
          <w:tcPr>
            <w:tcW w:w="2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c>
          <w:tcPr>
            <w:tcW w:w="2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New Business </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pPr>
      <w:r>
        <w:rPr>
          <w:rFonts w:ascii="Times New Roman;serif" w:hAnsi="Times New Roman;serif"/>
          <w:b w:val="false"/>
          <w:color w:val="000000"/>
          <w:sz w:val="13"/>
        </w:rPr>
        <w:t xml:space="preserve">(i) </w:t>
      </w:r>
      <w:r>
        <w:rPr>
          <w:rFonts w:ascii="Times New Roman;serif" w:hAnsi="Times New Roman;serif"/>
          <w:b w:val="false"/>
          <w:color w:val="000000"/>
          <w:sz w:val="20"/>
        </w:rPr>
        <w:t>New Business relates to expansion and new scope for existing clients and new logo contracts.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83260"/>
                <wp:effectExtent l="0" t="0" r="0" b="0"/>
                <wp:wrapNone/>
                <wp:docPr id="30" name="Frame3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Backlog was $2.92 billion as of September 30, 2026 compared to $2.83 billion as of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actual revenue reflects the most relevant measure necessary to understand the company’s results of operations, but TCV can be a useful leading indicator of the company’s ability to generate future revenue over time and backlog can be a useful metric and indicator of the company’s estimate of contracted revenue to be realized in the future, in each case subject to certain inherent limitations as explained above. TCV and backlog should not be relied upon as substitutes for, or considered in isolation from, measures in accordance with generally accepted accounting principles in the United States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for at least the next twelve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September 30, 2026 were $264.2 million compared to $413.9 million at December 31, 2025. The decrease in cash and cash equivalents is primarily due to the timing of cash interest payments associated with the 2031 Notes and pension and postretirement cash contributions.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$187.1 million of cash and cash equivalents were held by the company’s foreign subsidiaries and branches operating outside of the U.S. The company may not be able to readily transfer approximately one-quarter of these funds out of the country in which they are located as a result of local restrictions, contractual or other legal arrangements or commercial considerations. At September 30, 2026, the company maintained cash balances in various operating accounts in excess of federally insured limits. The company monitors this risk by evaluating the creditworthiness of the financial institutions.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cash used for operations was $66.5 million compared to cash used for operations of $244.9 million during the nine months ended September 30, 2025. The improvement in cash used for operations was primarily attributable to a discretionary cash contribution of $250 million to the company’s U.S. defined benefit pension plans in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cash used for investing activities was $65.8 million compared with cash used for investing activities of $21.6 million during the nine months ended September 30, 2025. In the current period, the investment in marketable software was $32.4 million compared with $36.1 million in the prior-year period and capital additions of properties and other assets were $33.3 million compared with $22.4 million in the prior-year period. During the nine months ended September 30, 2025, net proceeds of foreign exchange forward contracts were $37.0 million. Proceeds from foreign exchange forward contracts and purchases of foreign exchange forward contracts represent derivative financial instruments used to reduce the company’s currency exposure to market risks from changes in foreign currency exchange rates. During the third quarter of 2025, the company ceased its use of foreign currency forward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cash used for financing activities was $13.1 million compared with cash provided by financing activities of $188.1 million during the nine months ended September 30, 2025. During the nine months ended September 30, 2025, cash provided by financing activities included the net proceeds received from the issuance of the 2031 Notes, partially offset by the repurchase of the 6.875% Senior Secured Notes due November 1,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2026, total debt was $731.4 million compared to $741.7 million at December 31, 2025. During the nine months ended September 30, 2026, the company repurchased $1.6 million of the 2031 Notes from the open market for $1.4 million.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Asset Based Lending (ABL) Credit Facility</w:t>
      </w:r>
    </w:p>
    <w:p>
      <w:pPr>
        <w:pStyle w:val="TextBody"/>
        <w:bidi w:val="0"/>
        <w:spacing w:lineRule="auto" w:line="288" w:before="100" w:after="283"/>
        <w:jc w:val="left"/>
      </w:pPr>
      <w:r>
        <w:rPr>
          <w:rFonts w:ascii="Times New Roman;serif" w:hAnsi="Times New Roman;serif"/>
          <w:b w:val="false"/>
          <w:color w:val="000000"/>
          <w:sz w:val="20"/>
        </w:rPr>
        <w:t>The company has a secured revolving credit facility (the Amended and Restated ABL Credit Facility), which matures in June 2030. The Amended and Restated ABL Credit Facility provides for revolving loans and letters of credit up to an aggregate amount of $125.0 million (with a limit on letters of credit of $40.0 million), with an uncommitted accordion feature allowing for the aggregate amount available to be increased up to $155.0 million upon the satisfaction of certain specified conditions.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Amended and Restated ABL Credit Facility is subject to a borrowing base calculated by reference to the company’s receivables. At September 30, 2026, the company had no borrowings and $6.5 million of letters of credit outstanding. Availability under the Amended and Restated ABL Credit Facility was $89.1 million, net of letters of credit issued. Any borrowings under the Amended and Restated ABL Credit Facility will be subject to variable interest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2026, the company has met all covenants and conditions under its various lending and funding agreements. For at least the next 12 months, the company expects to continue to meet these covenants and conditions.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83260"/>
                <wp:effectExtent l="0" t="0" r="0" b="0"/>
                <wp:wrapNone/>
                <wp:docPr id="31" name="Frame3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Pension and Postretirement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September 2026, the company purchased a group annuity contract, with plan assets, to transfer to a third-party issuer approximately $200 million of projected U.S defined benefit pension liabilities. This action resulted in a pre-tax settlement loss of $151.2 million for both the three and nine months ended September 30, 2026. With the purchase of this group annuity contract, the company has reduced approximately $520 million of U.S qualified defined benefit pension plan liabilities since the third quarter of 2025, working towards its approximately $600 million reduction target. The company expects to complete an additional pension settlement in the first half of 2027 to substantially achieve this objective.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end of each year, the company estimates its future cash contributions to its global defined benefit pension plans based on year-end pension data, assumptions and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the company made cash contributions totaling $87.7 million to its global defined benefit pension plans. For the remainder of 2026, the company expects to make cash contributions of approximately $9 million, resulting in total expected 2026 cash contributions of approximately $97 million to the company’s global defined benefit pension plans. These contributions are expected to include approximately $47 million to the company’s U.S. qualified defined benefit pension plans and approximately $50 million, primarily to the company’s international defined benefit pension plans. Based on current funding requirements and assumptions, the company estimates future total cash contributions of approximately $101 million in 2027 to its global defined benefit pension plans. Actual future contributions may differ based on changes in regulatory requirements, interest rates, asset performance and other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company made cash contributions of $317.2 million, including a discretionary contribution of $250 million to its U.S. defined benefit pension plans.</w:t>
      </w:r>
    </w:p>
    <w:p>
      <w:pPr>
        <w:pStyle w:val="TextBody"/>
        <w:bidi w:val="0"/>
        <w:spacing w:lineRule="auto" w:line="288" w:before="120" w:after="160"/>
        <w:jc w:val="left"/>
        <w:rPr>
          <w:rFonts w:ascii="Times New Roman;serif" w:hAnsi="Times New Roman;serif"/>
          <w:b w:val="false"/>
          <w:color w:val="000000"/>
          <w:sz w:val="20"/>
        </w:rPr>
      </w:pPr>
      <w:r>
        <w:rPr>
          <w:rFonts w:ascii="Times New Roman;serif" w:hAnsi="Times New Roman;serif"/>
          <w:b w:val="false"/>
          <w:color w:val="000000"/>
          <w:sz w:val="20"/>
        </w:rPr>
        <w:t>If the company is not able to generate sufficient cash flows from operations, it may need to obtain additional funding in order to make these contributions. Any material deterioration in the value of the company’s global defined benefit pension plan assets, as well as changes in pension legislation, volatility in the capital markets, discount rate changes, asset return changes, or changes in economic or demographic trends, could require the company to make cash contributions in different amounts and on a different schedule than previously estimated.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explore a variety of additional debt and equity sources to fund its liquidity and capital needs.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from time to time, redeem, tender for, or repurchase its securities in the open market or in privately negotiated transactions depending upon availability, market conditions and other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arrangements that are material or reasonably likely to become material to its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20"/>
        <w:jc w:val="both"/>
        <w:rPr>
          <w:rFonts w:ascii="Times New Roman;serif" w:hAnsi="Times New Roman;serif"/>
          <w:b/>
          <w:color w:val="000000"/>
          <w:sz w:val="24"/>
        </w:rPr>
      </w:pPr>
      <w:r>
        <w:rPr>
          <w:rFonts w:ascii="Times New Roman;serif" w:hAnsi="Times New Roman;serif"/>
          <w:b/>
          <w:color w:val="000000"/>
          <w:sz w:val="24"/>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policies and estimates as reported in its Annual Report on Form 10-K for the year ended December 31, 2025, except as follows.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in the fourth quarter using data as of September 30 of that year, as well as whenever there are events or changes in circumstances (triggering events), which indicate that the carrying amount may not be recoverable.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after completing the qualitative assessment, the company determines it is more likely than not that the fair value of a reporting unit is less than its carrying amount, then the company proceeds to perform a subsequent quantitative goodwill impairment test. Alternatively, the company may elect to bypass the qualitative assessment and perform the quantitative impairment test. The quantitative goodwill impairment test compares each reporting unit’s fair value to its carrying value. If the reporting unit’s fair value exceeds its carrying value, no further procedures are required. However, if a reporting unit’s fair value is less than its carrying value, then an impairment charge is recorded in the amount of the excess.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When the company performs the quantitative goodwill impairment test for a reporting unit, it estimates the fair value of the reporting unit using both the income approach and the market approach. The methodology used to determine the fair values using the income and market approaches, as described below, are weighted to determine the fair value for each reporting unit.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83260"/>
                <wp:effectExtent l="0" t="0" r="0" b="0"/>
                <wp:wrapNone/>
                <wp:docPr id="32" name="Frame3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approach is a forward-looking approach to estimating fair value and relies primarily on internal forecasts. Within the income approach, the discounted cash flow method is used. The company starts with a forecast of all expected net cash flows associated with the reporting unit, which includes the application of a terminal value, and then a reporting unit-specific discount rate is applied to arrive at a net present value amount. Some of the more significant estimates and assumptions inherent in this approach include the amount and timing of projected net cash flows, long-term growth rate and the discount rate. Cash flow projections are based on management’s estimates of economic and market conditions, which drive key assumptions of revenue growth rates and operating margins. The discount rate, in turn, is based on various market factors and specific risk characteristics of each reporting unit.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 approach relies primarily on external information for estimating the fair value. Some of the more significant estimates and assumptions inherent in this approach include the selection of appropriate guideline companies and the selected performance metric used in this approach.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Estimating the fair value of reporting units requires the use of estimates and significant judgments about key assumptions. There are a number of factors, including potential events and changes in circumstances that could change in future periods, including: projected operating results; valuation multiples exhibited by the company and by companies considered comparable to the reporting units; and other macro-economic factors that could impact the discount rate. It is reasonably possible that the judgments and estimates described above could change in future periods, which could have a significant impact on the fair value of the related reporting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reviewed its estimated long-term expected future cash flows for its DWS reporting unit. DWS projected gross profit was below the previous estimated forecast primarily due to continued competitive pressure resulting from industry and macro-economic conditions. Based on this, the company concluded that a triggering event existed and conducted a quantitative goodwill assessment for the DWS reporting unit during the second quarter of 2026. The fair value of the DWS reporting unit was estimated using a combination of discounted cash flows and market-based valuation methodologies as noted above. Based on this goodwill impairment analysis, the carrying value of the DWS reporting unit exceeded its fair value, resulting in the recognition of a goodwill impairment charge of $47.2 million in the second quarter of 2026. The impairment charge represented the entire remaining goodwill balance allocated to the DWS reporting unit, resulting in a full write-off of the reporting unit's goodwill.</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annual impairment analysis performed during the fourth quarter of 2025, the CA&amp;I reporting unit had a 20% excess of fair value over book value, including goodwill.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Although the goodwill associated with the DWS reporting unit was fully impaired as of June 30, 2026, it is possible that future changes in such circumstances or in the inputs and assumptions used in estimating the fair value of the company’s other reporting units could require the company to record an additional non-cash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83260"/>
                <wp:effectExtent l="0" t="0" r="0" b="0"/>
                <wp:wrapNone/>
                <wp:docPr id="33" name="Frame3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assessment of its sensitivity to market risk since its disclosure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as amended (the Exchange Act).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September 30, 2026, the company’s disclosure controls and procedures were effective to provide reasonable assurance that information required to be disclosed in our Exchange Act reports is recorded, processed, summarized and reported within the time periods specified by the U.S. Securities and Exchange Commission (SEC), and that such information is accumulated and communicated to management, including the CEO and CFO, as appropriate, to allow timely decisions regarding required disclosure.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83260"/>
                <wp:effectExtent l="0" t="0" r="0" b="0"/>
                <wp:wrapNone/>
                <wp:docPr id="34" name="Frame3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color w:val="000000"/>
          <w:sz w:val="32"/>
        </w:rPr>
      </w:pPr>
      <w:r>
        <w:rPr>
          <w:rFonts w:ascii="Times New Roman;serif" w:hAnsi="Times New Roman;serif"/>
          <w:b/>
          <w:color w:val="000000"/>
          <w:sz w:val="3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Item 1. Legal Proceedings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Information with respect to legal proceedings is set forth in Note 14 of the Notes to Consolidated Financial Statements,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in Part I, Item 1A of the company’s Annual Report on Form 10-K for the year ended December 31, 2025, except as follows: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Impairment of goodwill has negatively impacted our results of operations. If our goodwill or intangible assets are further or fully impaired in the future, our results of operations will be negatively impacted further.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an annual basis, and whenever circumstances arise, we review goodwill and intangible assets for impairment. The impairment test is based on several factors, estimates and assumptions, including macroeconomic conditions, industry and market considerations, overall financial performance, market capitalization and relevant entity-specific events. Significant changes to these factors could impact the assumptions used in calculating the fair value of goodwill or intangible assets and may indicate potential impairment. As described in Note 12 of the Notes to Consolidated Financial Statements in Part I, Item 1 of this Quarterly Report on Form 10-Q, during the second quarter of 2026, we determined that a triggering event had occurred and therefore performed a quantitative goodwill impairment test for the Digital Workplace Solutions (DWS) reporting unit. As a result, we recorded a goodwill impairment charge of $47.2 million during the second quarter of 2026. The impairment charge represented the entire remaining goodwill balance allocated to the DWS reporting unit, resulting in a full write-off of the reporting unit's goodwill. Additionally, during the second quarter of 2026, we recorded an impairment charge of $1.5 million related to a customer relationship intangible asset. The impairment was triggered by revised expectations regarding future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will continue to conduct an impairment analysis of our goodwill and intangible assets on an annual basis, as well as whenever there are events or changes in circumstances (triggering events), which indicate that the carrying amount may not be recoverable. We could be required to record additional impairment charges in the future if any recoverability assessments indicate that the carrying values of our goodwill or intangible assets exceed their estimated fair values or are otherwise not recoverable. Further impairments of our goodwill or intangible assets would adversely affect our results of operations.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Although the goodwill associated with the DWS reporting unit has been fully impaired, it is possible that future changes in circumstances or in the inputs and assumptions used in estimating the fair value of our other reporting units could require us to record additional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our directors or officers (as defined in Rule 16a-1(f) of the Securities Exchange Act of 1934, as amended) adopted or terminated a Rule 10b5-1 trading arrangement or non-Rule 10b5-1 trading arrangement (as such terms are defined in Item 408(a) of Regulation S-K of the Securities Act of 1933, as amended) except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15, 2026, David Brown, our Vice President, Chief Accounting Officer and Corporate Controller, adopted a Rule 10b5-1 trading arrangement, which is intended to satisfy the affirmative defense of Rule 10b5-1(c). The Rule 10b5-1 trading arrangement provides for sales of up to 77,837 shares of our common stock beginning February 24, 2027 until March 6, 2028, or once all of the shares have been sold. Actual sale transactions will be disclosed publicly in filings with the Securities and Exchange Commission in accordance with applicable securities laws,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pPr>
      <w:r>
        <w:rPr>
          <w:rFonts w:ascii="Times New Roman;serif" w:hAnsi="Times New Roman;serif"/>
          <w:b/>
          <w:color w:val="000000"/>
          <w:sz w:val="28"/>
        </w:rPr>
        <w:t>Item 6. Exhibits</w:t>
      </w:r>
      <w:r>
        <w:rPr>
          <w:color w:val="000000"/>
        </w:rPr>
        <w:t>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83260"/>
                <wp:effectExtent l="0" t="0" r="0" b="0"/>
                <wp:wrapNone/>
                <wp:docPr id="35" name="Frame3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before="120" w:after="283"/>
        <w:jc w:val="center"/>
      </w:p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0"/>
        <w:gridCol w:w="298"/>
        <w:gridCol w:w="299"/>
        <w:gridCol w:w="2867"/>
        <w:gridCol w:w="2637"/>
        <w:gridCol w:w="3764"/>
      </w:tblGrid>
      <w:t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9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q32026-ex101.htm">
              <w:r>
                <w:rPr>
                  <w:rStyle w:val="InternetLink"/>
                  <w:rFonts w:ascii="Times New Roman;serif" w:hAnsi="Times New Roman;serif"/>
                  <w:b w:val="false"/>
                  <w:color w:val="000080"/>
                  <w:sz w:val="20"/>
                  <w:u w:val="single"/>
                </w:rPr>
                <w:t xml:space="preserve">Form of </w:t>
              </w:r>
            </w:hyperlink>
            <w:hyperlink w:anchor="q32026-ex101.htm">
              <w:r>
                <w:rPr>
                  <w:rStyle w:val="InternetLink"/>
                  <w:rFonts w:ascii="Times New Roman;serif" w:hAnsi="Times New Roman;serif"/>
                  <w:b w:val="false"/>
                  <w:color w:val="000080"/>
                  <w:sz w:val="20"/>
                  <w:u w:val="single"/>
                </w:rPr>
                <w:t>C</w:t>
              </w:r>
            </w:hyperlink>
            <w:hyperlink w:anchor="q32026-ex101.htm">
              <w:r>
                <w:rPr>
                  <w:rStyle w:val="InternetLink"/>
                  <w:rFonts w:ascii="Times New Roman;serif" w:hAnsi="Times New Roman;serif"/>
                  <w:b w:val="false"/>
                  <w:color w:val="000080"/>
                  <w:sz w:val="20"/>
                  <w:u w:val="single"/>
                </w:rPr>
                <w:t>hange of Control Agreement</w:t>
              </w:r>
            </w:hyperlink>
            <w:hyperlink w:anchor="q32026-ex101.htm">
              <w:r>
                <w:rPr>
                  <w:rStyle w:val="InternetLink"/>
                  <w:rFonts w:ascii="Times New Roman;serif" w:hAnsi="Times New Roman;serif"/>
                  <w:b w:val="false"/>
                  <w:color w:val="000080"/>
                  <w:sz w:val="20"/>
                  <w:u w:val="single"/>
                </w:rPr>
                <w:t xml:space="preserve"> </w:t>
              </w:r>
            </w:hyperlink>
            <w:hyperlink w:anchor="q32026-ex101.htm">
              <w:r>
                <w:rPr>
                  <w:rStyle w:val="InternetLink"/>
                  <w:rFonts w:ascii="Times New Roman;serif" w:hAnsi="Times New Roman;serif"/>
                  <w:b w:val="false"/>
                  <w:color w:val="000080"/>
                  <w:sz w:val="20"/>
                  <w:u w:val="single"/>
                </w:rPr>
                <w:t xml:space="preserve">by and </w:t>
              </w:r>
            </w:hyperlink>
            <w:hyperlink w:anchor="q32026-ex101.htm">
              <w:r>
                <w:rPr>
                  <w:rStyle w:val="InternetLink"/>
                  <w:rFonts w:ascii="Times New Roman;serif" w:hAnsi="Times New Roman;serif"/>
                  <w:b w:val="false"/>
                  <w:color w:val="000080"/>
                  <w:sz w:val="20"/>
                  <w:u w:val="single"/>
                </w:rPr>
                <w:t>between Unisys</w:t>
              </w:r>
            </w:hyperlink>
            <w:hyperlink w:anchor="q32026-ex101.htm">
              <w:r>
                <w:rPr>
                  <w:rStyle w:val="InternetLink"/>
                  <w:rFonts w:ascii="Times New Roman;serif" w:hAnsi="Times New Roman;serif"/>
                  <w:b w:val="false"/>
                  <w:color w:val="000080"/>
                  <w:sz w:val="20"/>
                  <w:u w:val="single"/>
                </w:rPr>
                <w:t xml:space="preserve"> Corporation</w:t>
              </w:r>
            </w:hyperlink>
            <w:hyperlink w:anchor="q32026-ex101.htm">
              <w:r>
                <w:rPr>
                  <w:rStyle w:val="InternetLink"/>
                  <w:rFonts w:ascii="Times New Roman;serif" w:hAnsi="Times New Roman;serif"/>
                  <w:b w:val="false"/>
                  <w:color w:val="000080"/>
                  <w:sz w:val="20"/>
                  <w:u w:val="single"/>
                </w:rPr>
                <w:t xml:space="preserve"> and </w:t>
              </w:r>
            </w:hyperlink>
            <w:hyperlink w:anchor="q32026-ex101.htm">
              <w:r>
                <w:rPr>
                  <w:rStyle w:val="InternetLink"/>
                  <w:rFonts w:ascii="Times New Roman;serif" w:hAnsi="Times New Roman;serif"/>
                  <w:b w:val="false"/>
                  <w:color w:val="000080"/>
                  <w:sz w:val="20"/>
                  <w:u w:val="single"/>
                </w:rPr>
                <w:t xml:space="preserve">each of its </w:t>
              </w:r>
            </w:hyperlink>
            <w:hyperlink w:anchor="q32026-ex101.htm">
              <w:r>
                <w:rPr>
                  <w:rStyle w:val="InternetLink"/>
                  <w:rFonts w:ascii="Times New Roman;serif" w:hAnsi="Times New Roman;serif"/>
                  <w:b w:val="false"/>
                  <w:color w:val="000080"/>
                  <w:sz w:val="20"/>
                  <w:u w:val="single"/>
                </w:rPr>
                <w:t>ex</w:t>
              </w:r>
            </w:hyperlink>
            <w:hyperlink w:anchor="q32026-ex101.htm">
              <w:r>
                <w:rPr>
                  <w:rStyle w:val="InternetLink"/>
                  <w:rFonts w:ascii="Times New Roman;serif" w:hAnsi="Times New Roman;serif"/>
                  <w:b w:val="false"/>
                  <w:color w:val="000080"/>
                  <w:sz w:val="20"/>
                  <w:u w:val="single"/>
                </w:rPr>
                <w:t>ecutive</w:t>
              </w:r>
            </w:hyperlink>
            <w:hyperlink w:anchor="q32026-ex101.htm">
              <w:r>
                <w:rPr>
                  <w:rStyle w:val="InternetLink"/>
                  <w:rFonts w:ascii="Times New Roman;serif" w:hAnsi="Times New Roman;serif"/>
                  <w:b w:val="false"/>
                  <w:color w:val="000080"/>
                  <w:sz w:val="20"/>
                  <w:u w:val="single"/>
                </w:rPr>
                <w:t xml:space="preserve"> officers</w:t>
              </w:r>
            </w:hyperlink>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80"/>
                  <w:sz w:val="20"/>
                  <w:u w:val="single"/>
                </w:rPr>
                <w:t>Amendment, dated July 28, 2026, to the Unisys Corporation 2005 Deferred Compensation Plan, as amended and restated effective September 19, 2014 except as otherwise noted therein</w:t>
              </w:r>
            </w:hyperlink>
            <w:hyperlink r:id="rId3">
              <w:r>
                <w:rPr>
                  <w:rStyle w:val="InternetLink"/>
                  <w:rFonts w:ascii="Times New Roman;serif" w:hAnsi="Times New Roman;serif"/>
                  <w:b w:val="false"/>
                  <w:color w:val="000080"/>
                  <w:sz w:val="20"/>
                  <w:u w:val="single"/>
                </w:rPr>
                <w:t xml:space="preserve"> (incorporated by reference to Exhibit 10.2 to the registrant</w:t>
              </w:r>
            </w:hyperlink>
            <w:hyperlink r:id="rId4">
              <w:r>
                <w:rPr>
                  <w:rStyle w:val="InternetLink"/>
                  <w:rFonts w:ascii="Times New Roman;serif" w:hAnsi="Times New Roman;serif"/>
                  <w:b w:val="false"/>
                  <w:color w:val="000080"/>
                  <w:sz w:val="20"/>
                  <w:u w:val="single"/>
                </w:rPr>
                <w:t>’</w:t>
              </w:r>
            </w:hyperlink>
            <w:hyperlink r:id="rId5">
              <w:r>
                <w:rPr>
                  <w:rStyle w:val="InternetLink"/>
                  <w:rFonts w:ascii="Times New Roman;serif" w:hAnsi="Times New Roman;serif"/>
                  <w:b w:val="false"/>
                  <w:color w:val="000080"/>
                  <w:sz w:val="20"/>
                  <w:u w:val="single"/>
                </w:rPr>
                <w:t>s Qua</w:t>
              </w:r>
            </w:hyperlink>
            <w:hyperlink r:id="rId6">
              <w:r>
                <w:rPr>
                  <w:rStyle w:val="InternetLink"/>
                  <w:rFonts w:ascii="Times New Roman;serif" w:hAnsi="Times New Roman;serif"/>
                  <w:b w:val="false"/>
                  <w:color w:val="000080"/>
                  <w:sz w:val="20"/>
                  <w:u w:val="single"/>
                </w:rPr>
                <w:t>rterly Report on Form 10-Q for the quarterly period ended June 30, 2026)</w:t>
              </w:r>
            </w:hyperlink>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q32026-ex311.htm">
              <w:r>
                <w:rPr>
                  <w:rStyle w:val="InternetLink"/>
                  <w:rFonts w:ascii="Times New Roman;serif" w:hAnsi="Times New Roman;serif"/>
                  <w:b w:val="false"/>
                  <w:color w:val="0000FF"/>
                  <w:sz w:val="20"/>
                  <w:u w:val="single"/>
                </w:rPr>
                <w:t>Certification of Michael M. Thomson, Chief Executive Officer, pursuant to Rule 13a-14(a) or Rule 15d-14(a) of the Securities Exchange Act of 1934, as amended</w:t>
              </w:r>
            </w:hyperlink>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q32026-ex312.htm">
              <w:r>
                <w:rPr>
                  <w:rStyle w:val="InternetLink"/>
                  <w:rFonts w:ascii="Times New Roman;serif" w:hAnsi="Times New Roman;serif"/>
                  <w:b w:val="false"/>
                  <w:color w:val="0000FF"/>
                  <w:sz w:val="20"/>
                  <w:u w:val="single"/>
                </w:rPr>
                <w:t>Certification of Debra McCann, Chief Financial Officer, pursuant to Rule 13a-14(a) or Rule 15d-14(a) of the Securities Exchange Act of 1934, as amended</w:t>
              </w:r>
            </w:hyperlink>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q32026-ex321.htm">
              <w:r>
                <w:rPr>
                  <w:rStyle w:val="InternetLink"/>
                  <w:rFonts w:ascii="Times New Roman;serif" w:hAnsi="Times New Roman;serif"/>
                  <w:b w:val="false"/>
                  <w:color w:val="0000FF"/>
                  <w:sz w:val="20"/>
                  <w:u w:val="single"/>
                </w:rPr>
                <w:t>Certification of Michael M. Thomson, Chief Executive Officer, pursuant to Rule 13a-14(b) or Rule 15d-14(b) of the Securities Exchange Act of 1934, as amended, and Section 906 of the Sarbanes-Oxley Act of 2002, 18 U.S.C. Section 1350</w:t>
              </w:r>
            </w:hyperlink>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q32026-ex322.htm">
              <w:r>
                <w:rPr>
                  <w:rStyle w:val="InternetLink"/>
                  <w:rFonts w:ascii="Times New Roman;serif" w:hAnsi="Times New Roman;serif"/>
                  <w:b w:val="false"/>
                  <w:color w:val="0000FF"/>
                  <w:sz w:val="20"/>
                  <w:u w:val="single"/>
                </w:rPr>
                <w:t>Certification of Debra McCann, Chief Financial Officer, pursuant to Rule 13a-14(b) or Rule 15d-14(b) of the Securities Exchange Act of 1934, as amended, and Section 906 of the Sarbanes-Oxley Act of 2002, 18 U.S.C. Section 1350</w:t>
              </w:r>
            </w:hyperlink>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Unisys Corporation’s Quarterly Report on Form 10-Q for the quarter ended September 30, 2026 formatted in Inline XBRL (Extensible Business Reporting Language) includes: (i) the Consolidated Statements of Income (Loss), (ii) the Consolidated Statements of Comprehensive Income (Loss), (iii) the Consolidated Balance Sheets, (iv) the Consolidated Statements of Cash Flows, (v) the Consolidated Statements of Equity (Deficit), and (vi) Notes to Consolidated Financial Statements</w:t>
            </w:r>
          </w:p>
        </w:tc>
      </w:tr>
      <w:t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7355"/>
                <wp:effectExtent l="0" t="0" r="0" b="0"/>
                <wp:wrapNone/>
                <wp:docPr id="36" name="Frame36"/>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120" w:after="283"/>
                        <w:jc w:val="center"/>
                      </w:pPr>
                      <w:r/>
                    </w:p>
                  </w:txbxContent>
                </v:textbox>
                <w10:wrap type="none"/>
              </v:rect>
            </w:pict>
          </mc:Fallback>
        </mc:AlternateContent>
      </w:r>
    </w:p>
    <w:p>
      <w:pPr>
        <w:pStyle w:val="TextBody"/>
        <w:bidi w:val="0"/>
        <w:spacing w:before="120" w:after="283"/>
        <w:jc w:val="left"/>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7583" w:type="dxa"/>
        <w:jc w:val="left"/>
        <w:tblInd w:w="0" w:type="dxa"/>
        <w:tblLayout w:type="fixed"/>
        <w:tblCellMar>
          <w:top w:w="28" w:type="dxa"/>
          <w:left w:w="28" w:type="dxa"/>
          <w:bottom w:w="28" w:type="dxa"/>
          <w:right w:w="28" w:type="dxa"/>
        </w:tblCellMar>
      </w:tblPr>
      <w:tblGrid>
        <w:gridCol w:w="759"/>
        <w:gridCol w:w="668"/>
        <w:gridCol w:w="672"/>
        <w:gridCol w:w="348"/>
        <w:gridCol w:w="348"/>
        <w:gridCol w:w="348"/>
        <w:gridCol w:w="1297"/>
        <w:gridCol w:w="1297"/>
        <w:gridCol w:w="184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UNISYS CORPORATION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283"/>
        <w:jc w:val="left"/>
      </w:pPr>
      <w:r/>
    </w:p>
    <w:tbl>
      <w:tblPr>
        <w:tblW w:w="629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623"/>
        <w:gridCol w:w="1623"/>
        <w:gridCol w:w="230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Brown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Brown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Corporate Controller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83260"/>
                <wp:effectExtent l="0" t="0" r="0" b="0"/>
                <wp:wrapNone/>
                <wp:docPr id="37" name="Frame3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120" w:after="283"/>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120" w:after="283"/>
                        <w:jc w:val="center"/>
                      </w:pPr>
                      <w:r/>
                    </w:p>
                  </w:txbxContent>
                </v:textbox>
                <w10:wrap type="none"/>
              </v:rect>
            </w:pict>
          </mc:Fallback>
        </mc:AlternateContent>
      </w:r>
    </w:p>
    <w:p>
      <w:pPr>
        <w:pStyle w:val="TextBody"/>
        <w:bidi w:val="0"/>
        <w:spacing w:before="0" w:after="0"/>
        <w:jc w:val="left"/>
      </w:pPr>
      <w:r>
        <w:drawing>
          <wp:inline distT="0" distB="0" distL="0" distR="0">
            <wp:extent cx="2095500" cy="72390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7"/>
                    <a:stretch>
                      <a:fillRect/>
                    </a:stretch>
                  </pic:blipFill>
                  <pic:spPr bwMode="auto">
                    <a:xfrm>
                      <a:off x="0" y="0"/>
                      <a:ext cx="2095500" cy="723900"/>
                    </a:xfrm>
                    <a:prstGeom prst="rect">
                      <a:avLst/>
                    </a:prstGeom>
                  </pic:spPr>
                </pic:pic>
              </a:graphicData>
            </a:graphic>
          </wp:inline>
        </w:drawing>
      </w:r>
    </w:p>
    <w:p>
      <w:pPr>
        <w:pStyle w:val="TextBody"/>
        <w:bidi w:val="0"/>
        <w:spacing w:before="120" w:after="283"/>
        <w:jc w:val="center"/>
      </w:pPr>
      <w:r/>
    </w:p>
    <w:p>
      <w:pPr>
        <w:pStyle w:val="TextBody"/>
        <w:bidi w:val="0"/>
        <w:spacing w:lineRule="auto" w:line="240" w:before="100" w:after="10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CHANGE OF CONTROL AGREEMENT </w:t>
      </w:r>
    </w:p>
    <w:p>
      <w:pPr>
        <w:pStyle w:val="TextBody"/>
        <w:bidi w:val="0"/>
        <w:spacing w:before="120" w:after="283"/>
        <w:jc w:val="center"/>
      </w:pPr>
      <w:r/>
    </w:p>
    <w:p>
      <w:pPr>
        <w:pStyle w:val="TextBody"/>
        <w:bidi w:val="0"/>
        <w:spacing w:before="0" w:after="0"/>
        <w:jc w:val="left"/>
      </w:pPr>
      <w:r/>
    </w:p>
    <w:p>
      <w:pPr>
        <w:pStyle w:val="TextBody"/>
        <w:bidi w:val="0"/>
        <w:spacing w:lineRule="auto" w:line="288" w:before="120" w:after="283"/>
        <w:ind w:left="0" w:right="0" w:firstLine="979"/>
        <w:jc w:val="left"/>
      </w:pPr>
      <w:r>
        <w:rPr>
          <w:rFonts w:ascii="Times New Roman;serif" w:hAnsi="Times New Roman;serif"/>
          <w:b w:val="false"/>
          <w:color w:val="000000"/>
          <w:sz w:val="22"/>
        </w:rPr>
        <w:t xml:space="preserve">AGREEMENT by and between Unisys Corporation, a Delaware corporation (the “Company”) and </w:t>
      </w:r>
      <w:r>
        <w:rPr>
          <w:rFonts w:ascii="Times New Roman;serif" w:hAnsi="Times New Roman;serif"/>
          <w:b/>
          <w:color w:val="000000"/>
          <w:sz w:val="22"/>
        </w:rPr>
        <w:t xml:space="preserve">[EXECUTIVE NAME] </w:t>
      </w:r>
      <w:r>
        <w:rPr>
          <w:rFonts w:ascii="Times New Roman;serif" w:hAnsi="Times New Roman;serif"/>
          <w:b w:val="false"/>
          <w:color w:val="000000"/>
          <w:sz w:val="22"/>
        </w:rPr>
        <w:t xml:space="preserve">(the “Executive”), dated as of [EFFECTIVE DATE]. </w:t>
      </w:r>
    </w:p>
    <w:p>
      <w:pPr>
        <w:pStyle w:val="TextBody"/>
        <w:bidi w:val="0"/>
        <w:spacing w:lineRule="auto" w:line="288" w:before="120" w:after="283"/>
        <w:ind w:left="0" w:right="0" w:firstLine="979"/>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has determined that it is in the best interests of the Company and its stockholders to assure that the Company will have the continued dedication of the Executive, notwithstanding the possibility, threat or occurrence of a Change of Control (as defined below) of the Company. The Company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Company is entering into the Employment Agreement with Executive, dated as of the date set forth above (the “Agreement”). </w:t>
      </w:r>
    </w:p>
    <w:p>
      <w:pPr>
        <w:pStyle w:val="TextBody"/>
        <w:bidi w:val="0"/>
        <w:spacing w:lineRule="auto" w:line="288" w:before="120" w:after="283"/>
        <w:ind w:left="0" w:right="0" w:firstLine="979"/>
        <w:jc w:val="left"/>
        <w:rPr>
          <w:rFonts w:ascii="Times New Roman;serif" w:hAnsi="Times New Roman;serif"/>
          <w:b w:val="false"/>
          <w:color w:val="000000"/>
          <w:sz w:val="22"/>
        </w:rPr>
      </w:pPr>
      <w:r>
        <w:rPr>
          <w:rFonts w:ascii="Times New Roman;serif" w:hAnsi="Times New Roman;serif"/>
          <w:b w:val="false"/>
          <w:color w:val="000000"/>
          <w:sz w:val="22"/>
        </w:rPr>
        <w:t xml:space="preserve">NOW, THEREFORE, IT IS HEREBY AGREED AS FOLLOWS: </w:t>
      </w:r>
    </w:p>
    <w:p>
      <w:pPr>
        <w:pStyle w:val="TextBody"/>
        <w:bidi w:val="0"/>
        <w:spacing w:lineRule="auto" w:line="288" w:before="60" w:after="283"/>
        <w:jc w:val="left"/>
      </w:pPr>
      <w:r>
        <w:rPr>
          <w:rFonts w:ascii="Times New Roman;serif" w:hAnsi="Times New Roman;serif"/>
          <w:b w:val="false"/>
          <w:color w:val="000000"/>
          <w:sz w:val="22"/>
        </w:rPr>
        <w:t xml:space="preserve">1. </w:t>
      </w:r>
      <w:r>
        <w:rPr>
          <w:rFonts w:ascii="Times New Roman;serif" w:hAnsi="Times New Roman;serif"/>
          <w:b w:val="false"/>
          <w:color w:val="000000"/>
          <w:sz w:val="22"/>
          <w:u w:val="single"/>
        </w:rPr>
        <w:t>Certain Definitions</w:t>
      </w:r>
      <w:r>
        <w:rPr>
          <w:rFonts w:ascii="Times New Roman;serif" w:hAnsi="Times New Roman;serif"/>
          <w:b w:val="false"/>
          <w:color w:val="000000"/>
          <w:sz w:val="22"/>
        </w:rPr>
        <w:t xml:space="preserve">. </w:t>
      </w:r>
    </w:p>
    <w:p>
      <w:pPr>
        <w:pStyle w:val="TextBody"/>
        <w:bidi w:val="0"/>
        <w:spacing w:lineRule="auto" w:line="288" w:before="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The “Effective Date” shall mean the first date during the Change of Control Period (as defined in Section 1(b)) on which a Change of Control (as defined in Section 2) occurs. Anything in this Agreement to the contrary notwithstanding, if a Change of Control occurs and if the Executive’s employment with the Company is terminated, and/or this Agreement is terminated in accordance with section 12(f) herein, within the twelve (12) month period prior to the date on which the Change of Control occurs, and if it is reasonably demonstrated by the Executive that such termination of employment (i) was at the request of a third party who has taken steps reasonably calculated to effect a Change of Control or (ii) otherwise arose in connection with or anticipation of a Change of Control, then for all purposes of this Agreement the “Effective Date” shall mean the date immediately prior to the date of such termination of employment.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“Change of Control Period” shall mean the period commencing on the date hereof and ending on the third anniversary of the date hereof; provided, however, that commencing on the date one year after the date hereof, and on each annual anniversary of such date (such date and each annual anniversary thereof shall be hereinafter referred to as the “Renewal Date”), unless previously terminated, the Change of Control Period shall be automatically extended so as to terminate three years from such Renewal Date, unless at least 60 days prior to the Renewal Date the Company shall give notice to the Executive that the Change of Control Period shall not be so extended. </w:t>
      </w:r>
    </w:p>
    <w:p>
      <w:pPr>
        <w:pStyle w:val="TextBody"/>
        <w:bidi w:val="0"/>
        <w:spacing w:lineRule="auto" w:line="288" w:before="120" w:after="283"/>
        <w:jc w:val="left"/>
      </w:pPr>
      <w:r>
        <w:rPr>
          <w:rFonts w:ascii="Times New Roman;serif" w:hAnsi="Times New Roman;serif"/>
          <w:b w:val="false"/>
          <w:color w:val="000000"/>
          <w:sz w:val="22"/>
        </w:rPr>
        <w:t xml:space="preserve">2. </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xml:space="preserve">. For the purpose of this Agreement, a “Change of Control” shall mean: </w:t>
      </w:r>
    </w:p>
    <w:p>
      <w:pPr>
        <w:pStyle w:val="TextBody"/>
        <w:bidi w:val="0"/>
        <w:spacing w:lineRule="auto" w:line="288" w:before="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The date on which occurs the acquisition by any individual, entity or group (within the meaning of Section 13(d)(3) or 14(d)(2) of the Securities Exchange Act of 1934, as amended (the “Exchange Act”)) (a “Person”) of beneficial ownership (within the meaning of Rule 13d-3 promulgated under the Exchange Act) of 30% or more of the combined voting power of the then outstanding voting securities of the Company entitled to vote (the “Outstanding Company Voting Securities”); provided, however, that for purposes of this subsection (a), the following acquisitions shall not constitute a Change </w:t>
      </w:r>
    </w:p>
    <w:p>
      <w:pPr>
        <w:pStyle w:val="TextBody"/>
        <w:bidi w:val="0"/>
        <w:spacing w:before="0" w:after="0"/>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39"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p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 (iii) of subsection (c) of this Section 2; or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date a majority of the members of the Board of Directors of the Company (the “Incumbent Board”) is replaced during any 12-month period by directors whose appointment or election is not endorsed by the Incumbent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Incumbent Board; or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Consummation of a merger or consolidation, or sale or other disposition of all or substantially all of the assets, of the Company (a “Business Combination”), in each case, unless, following such Business Combination, (i) all or substantially all of the individuals and entities who were the beneficial owners, respectively, of the then outstanding total fair market value of the shares of common stock of the Company (the “Outstanding Company Common Stock”) and the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30%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of Directors of the Company (the “Board”), providing for such Business Combination. </w:t>
      </w:r>
    </w:p>
    <w:p>
      <w:pPr>
        <w:pStyle w:val="TextBody"/>
        <w:bidi w:val="0"/>
        <w:spacing w:before="0" w:after="0"/>
        <w:ind w:left="0" w:right="0" w:firstLine="979"/>
        <w:jc w:val="left"/>
      </w:pPr>
      <w:r/>
    </w:p>
    <w:p>
      <w:pPr>
        <w:pStyle w:val="TextBody"/>
        <w:bidi w:val="0"/>
        <w:spacing w:lineRule="auto" w:line="288" w:before="0" w:after="0"/>
        <w:jc w:val="left"/>
      </w:pPr>
      <w:r>
        <w:rPr>
          <w:rFonts w:ascii="Times New Roman;serif" w:hAnsi="Times New Roman;serif"/>
          <w:b w:val="false"/>
          <w:color w:val="000000"/>
          <w:sz w:val="22"/>
        </w:rPr>
        <w:t xml:space="preserve">3. </w:t>
      </w:r>
      <w:r>
        <w:rPr>
          <w:rFonts w:ascii="Times New Roman;serif" w:hAnsi="Times New Roman;serif"/>
          <w:b w:val="false"/>
          <w:color w:val="000000"/>
          <w:sz w:val="22"/>
          <w:u w:val="single"/>
        </w:rPr>
        <w:t>Employment Period</w:t>
      </w:r>
      <w:r>
        <w:rPr>
          <w:rFonts w:ascii="Times New Roman;serif" w:hAnsi="Times New Roman;serif"/>
          <w:b w:val="false"/>
          <w:color w:val="000000"/>
          <w:sz w:val="22"/>
        </w:rPr>
        <w:t xml:space="preserve">. The Company hereby agrees to continue the Executive in its employ, and the Executive hereby agrees to remain in the employ of the Company subject to the terms and conditions of this Agreement, for the period commencing on the Effective Date and ending on the third anniversary of such date (the “Employment Period”). </w:t>
      </w:r>
    </w:p>
    <w:p>
      <w:pPr>
        <w:pStyle w:val="TextBody"/>
        <w:bidi w:val="0"/>
        <w:spacing w:lineRule="auto" w:line="288" w:before="120" w:after="283"/>
        <w:jc w:val="left"/>
      </w:pPr>
      <w:r>
        <w:rPr>
          <w:rFonts w:ascii="Times New Roman;serif" w:hAnsi="Times New Roman;serif"/>
          <w:b w:val="false"/>
          <w:color w:val="000000"/>
          <w:sz w:val="22"/>
        </w:rPr>
        <w:t xml:space="preserve">4. </w:t>
      </w:r>
      <w:r>
        <w:rPr>
          <w:rFonts w:ascii="Times New Roman;serif" w:hAnsi="Times New Roman;serif"/>
          <w:b w:val="false"/>
          <w:color w:val="000000"/>
          <w:sz w:val="22"/>
          <w:u w:val="single"/>
        </w:rPr>
        <w:t>Terms of Employment</w:t>
      </w:r>
      <w:r>
        <w:rPr>
          <w:rFonts w:ascii="Times New Roman;serif" w:hAnsi="Times New Roman;serif"/>
          <w:b w:val="false"/>
          <w:color w:val="000000"/>
          <w:sz w:val="22"/>
        </w:rPr>
        <w:t>.</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During the Employment Period, (A) the Executive’s position (including status, offices, titles and reporting requirements), authority, duties and responsibilities shall be at least </w:t>
      </w:r>
    </w:p>
    <w:p>
      <w:pPr>
        <w:pStyle w:val="TextBody"/>
        <w:bidi w:val="0"/>
        <w:spacing w:before="0" w:after="0"/>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40"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commensurate in all material respects with the most significant of those held, exercised and assigned at any time during the 120-day period immediately preceding the Effective Date and (B) the Executive’s services shall be performed at the location where the Executive was employed immediately preceding the Effective Date or any office or location less than 50 miles from such location.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Compensation</w:t>
      </w:r>
      <w:r>
        <w:rPr>
          <w:rFonts w:ascii="Times New Roman;serif" w:hAnsi="Times New Roman;serif"/>
          <w:b w:val="false"/>
          <w:color w:val="000000"/>
          <w:sz w:val="22"/>
        </w:rPr>
        <w:t>.</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Base Salary</w:t>
      </w:r>
      <w:r>
        <w:rPr>
          <w:rFonts w:ascii="Times New Roman;serif" w:hAnsi="Times New Roman;serif"/>
          <w:b w:val="false"/>
          <w:color w:val="000000"/>
          <w:sz w:val="22"/>
        </w:rPr>
        <w:t xml:space="preserve">. During the Employment Period, the Executive shall receive an annual base salary (“Annual Base Salary”), which shall be paid at a monthly rate, at least equal to twelve times the highest monthly base salary paid or payable, including any base salary which has been earned but deferred, to the Executive by the Company and its affiliated companies in respect of the twelve-month period immediately preceding the month in which the Effective Date occurs. During the Employment Period, the Annual Base Salary shall be reviewed no more than 12 months after the last salary increase awarded to the Executive prior to the Effective Date and thereafter at least annually.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any company controlled by, controlling or under common control with the Company.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Annual Bonus</w:t>
      </w:r>
      <w:r>
        <w:rPr>
          <w:rFonts w:ascii="Times New Roman;serif" w:hAnsi="Times New Roman;serif"/>
          <w:b w:val="false"/>
          <w:color w:val="000000"/>
          <w:sz w:val="22"/>
        </w:rPr>
        <w:t xml:space="preserve">. In addition to Annual Base Salary, the Executive shall be awarded, for each fiscal year ending during the Employment Period, an annual bonus (the “Annual Bonus”) in cash at least equal to the Executive’s highest bonus under the Company’s Executive Variable Compensation Plan, or any comparable bonus or retention amount under any predecessor or successor plan or retention agreement, for the last three full fiscal years prior to the Effective Date (annualized in the event that the Executive was not employed by the Company for the whole of such fiscal year) (the “Recent Annual Bonus”). Each such Annual Bonus shall be paid on or after January 1 of the fiscal year next following the fiscal year for which the Annual Bonus is awarded, but not later than March 15 of such fiscal year, unless the Executive shall elect to defer the receipt of such Annual Bonus in accordance with the terms of the applicable deferred compensation plan. </w:t>
      </w:r>
    </w:p>
    <w:p>
      <w:pPr>
        <w:pStyle w:val="TextBody"/>
        <w:bidi w:val="0"/>
        <w:spacing w:before="0" w:after="0"/>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41"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Incentive, Savings and Retirement Plans</w:t>
      </w:r>
      <w:r>
        <w:rPr>
          <w:rFonts w:ascii="Times New Roman;serif" w:hAnsi="Times New Roman;serif"/>
          <w:b w:val="false"/>
          <w:color w:val="000000"/>
          <w:sz w:val="22"/>
        </w:rPr>
        <w:t xml:space="preserve">. During the Employment Period, the Executive shall be entitled to participate in all incentive, savings and retirement plans, practices, policies and programs applicable generally to other peer executives of the Company and its affiliated companies, but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its affiliated companies for the Executive under such plans, practices, policies and programs as in effect at any time during the 120-day period immediately preceding the Effective Date or if more favorable to the Executive, those provided generally at any time after the Effective Date to other peer executives of the Company and its affiliated companies.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Welfare Benefit Plans</w:t>
      </w:r>
      <w:r>
        <w:rPr>
          <w:rFonts w:ascii="Times New Roman;serif" w:hAnsi="Times New Roman;serif"/>
          <w:b w:val="false"/>
          <w:color w:val="000000"/>
          <w:sz w:val="22"/>
        </w:rPr>
        <w:t xml:space="preserve">.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to the extent applicable generally to other peer executives of the Company and its affiliated companies, but in no event shall such plans, practices, policies and programs provide the Executive with benefits which are less favorable, in the aggregate, than the most favorable of such plans, practices, policies and programs in effect for the Executive at any time during the 120-day period immediately preceding the Effective Date or, if more favorable to the Executive, those provided generally at any time after the Effective Date to other peer executives of the Company and its affiliated companies.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(v)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During the Employment Period, the Executive shall be entitled to receive prompt reimbursement for all reasonable expenses incurred by the Executive in accordance with the most favorable policies, practices and procedures of the Company and its affiliated 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(vi) </w:t>
      </w:r>
      <w:r>
        <w:rPr>
          <w:rFonts w:ascii="Times New Roman;serif" w:hAnsi="Times New Roman;serif"/>
          <w:b w:val="false"/>
          <w:color w:val="000000"/>
          <w:sz w:val="22"/>
          <w:u w:val="single"/>
        </w:rPr>
        <w:t>Fringe Benefits</w:t>
      </w:r>
      <w:r>
        <w:rPr>
          <w:rFonts w:ascii="Times New Roman;serif" w:hAnsi="Times New Roman;serif"/>
          <w:b w:val="false"/>
          <w:color w:val="000000"/>
          <w:sz w:val="22"/>
        </w:rPr>
        <w:t xml:space="preserve">. During the Employment Period, the Executive shall be entitled to fringe benefits, including, without limitation, tax and financial planning services, payment of club dues, and, if applicable, use of an automobile and payment of related expenses, in accordance with the most favorable plans, practices, programs and policies of the Company and its affiliated 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(vii) </w:t>
      </w:r>
      <w:r>
        <w:rPr>
          <w:rFonts w:ascii="Times New Roman;serif" w:hAnsi="Times New Roman;serif"/>
          <w:b w:val="false"/>
          <w:color w:val="000000"/>
          <w:sz w:val="22"/>
          <w:u w:val="single"/>
        </w:rPr>
        <w:t>Office and Support Staff</w:t>
      </w:r>
      <w:r>
        <w:rPr>
          <w:rFonts w:ascii="Times New Roman;serif" w:hAnsi="Times New Roman;serif"/>
          <w:b w:val="false"/>
          <w:color w:val="000000"/>
          <w:sz w:val="22"/>
        </w:rPr>
        <w:t xml:space="preserve">. During the Employment 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120-day period immediately preceding the Effective Date or, if more favorable to the Executive, as provided generally at any time thereafter with respect to other peer executives of the Company and its affiliated companies. </w:t>
      </w:r>
    </w:p>
    <w:p>
      <w:pPr>
        <w:pStyle w:val="TextBody"/>
        <w:bidi w:val="0"/>
        <w:spacing w:before="0" w:after="0"/>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42"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(viii) </w:t>
      </w:r>
      <w:r>
        <w:rPr>
          <w:rFonts w:ascii="Times New Roman;serif" w:hAnsi="Times New Roman;serif"/>
          <w:b w:val="false"/>
          <w:color w:val="000000"/>
          <w:sz w:val="22"/>
          <w:u w:val="single"/>
        </w:rPr>
        <w:t>Vacation</w:t>
      </w:r>
      <w:r>
        <w:rPr>
          <w:rFonts w:ascii="Times New Roman;serif" w:hAnsi="Times New Roman;serif"/>
          <w:b w:val="false"/>
          <w:color w:val="000000"/>
          <w:sz w:val="22"/>
        </w:rPr>
        <w:t xml:space="preserve">. During the Employment Period, the Executive shall be entitled to paid vacation in accordance with the most favorable plans, policies, programs and practices of the Company and its affiliated companies as in effect for the Executive at any time during the 120-day period immediately preceding the Effective Date or, if more favorable to the Executive, as in effect generally at any time thereafter with respect to other peer executives of the Company and its affiliated companies. </w:t>
      </w:r>
    </w:p>
    <w:p>
      <w:pPr>
        <w:pStyle w:val="TextBody"/>
        <w:bidi w:val="0"/>
        <w:spacing w:lineRule="auto" w:line="288" w:before="120" w:after="283"/>
        <w:jc w:val="left"/>
      </w:pPr>
      <w:r>
        <w:rPr>
          <w:rFonts w:ascii="Times New Roman;serif" w:hAnsi="Times New Roman;serif"/>
          <w:b w:val="false"/>
          <w:color w:val="000000"/>
          <w:sz w:val="22"/>
        </w:rPr>
        <w:t xml:space="preserve">5. </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xml:space="preserve">.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12(b)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Cause</w:t>
      </w:r>
      <w:r>
        <w:rPr>
          <w:rFonts w:ascii="Times New Roman;serif" w:hAnsi="Times New Roman;serif"/>
          <w:b w:val="false"/>
          <w:color w:val="000000"/>
          <w:sz w:val="22"/>
        </w:rPr>
        <w:t xml:space="preserve">. The Company may terminate the Executive’s employment during the Employment Period for Cause. For purposes of this Agreement, “Cause” shall mean: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the willful and continued failure of the Executive to perform substantially the Executive’s duties with the Company or one of its affiliates (other than any such failure resulting from incapacity due to physical or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or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the willful engaging by the Executive in illegal conduct or gross misconduct which is materially and demonstrably injurious to the Company.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 </w:t>
      </w:r>
    </w:p>
    <w:p>
      <w:pPr>
        <w:pStyle w:val="TextBody"/>
        <w:bidi w:val="0"/>
        <w:spacing w:before="0" w:after="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43"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Good Reason</w:t>
      </w:r>
      <w:r>
        <w:rPr>
          <w:rFonts w:ascii="Times New Roman;serif" w:hAnsi="Times New Roman;serif"/>
          <w:b w:val="false"/>
          <w:color w:val="000000"/>
          <w:sz w:val="22"/>
        </w:rPr>
        <w:t xml:space="preserve">. The Executive’s employment may be terminated by the Executive for Good Reason. For purposes of this Agreement, “Good Reason” shall mean, without the Executive’s written consent, the occurrence of any of the following on, or within the two year period following, the occurrence of a Change of Control: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a material diminution in Executive’s authority, duties or responsibilities as compared to those in effect immediately prior to the occurrence of the Change of Control;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a material diminution in the Executive’s Annual Base Salary, as in effect immediately prior to the occurrence of the Change of Control;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the Company’s requiring the Executive to be based at any office or location that is a material change from which the Executive was required to perform services immediately prior to the date of the Change of Control, which for this purpose a material change shall be deemed to be an office or location that is more than fifty (50) miles from the office or location in which the Executive was required to perform services immediately prior to the date of the Change of Control; or</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(iv) any other action or inaction by the Company that constitutes a material breach of this Agreement.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the Executive shall not be eligible to resign for Good Reason unless and until the Executive has provided written notice to the Company of the occurrence of the event constituting Good Reason, which notice must occur within ninety (90) days following the initial existence of the condition constituting Good Reason, and the Company has a period of thirty (30) days following receipt of such notice to cure the condition. If the Company does not cure the condition constituting Good Reason within such thirty (30) day period, the Date of Termination shall be the day immediately following the end of such thirty (30) day Company cure period, unless the Company provides for an earlier Date of Termination.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Any termination by the Company for Cause, or by the Executive for Good Reason, shall be communicated by Notice of Termination to the other party hereto given in accordance with Section 12(b)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days after the giving of such notice). The failure by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 If the Executive resigns for Good Reason, the Executive will be deemed to have provided the Notice of Termination on the day immediately following the end of the Company’s thirty (30) day cure period if the Company has not cured the condition constituting Good Reason as provided in Section 5(c) above, unless prior to such date the Executive has revoked such Notice of Termination.</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Date of Termination</w:t>
      </w:r>
      <w:r>
        <w:rPr>
          <w:rFonts w:ascii="Times New Roman;serif" w:hAnsi="Times New Roman;serif"/>
          <w:b w:val="false"/>
          <w:color w:val="000000"/>
          <w:sz w:val="22"/>
        </w:rPr>
        <w:t xml:space="preserve">. “Date of Termination” means (i) if the Executive’s employment is terminated by the Company for Cause, the date of receipt of the Notice of Termination or any later date specified therein, as the case may be, (ii) if the Executive’s resignation is on account of Good Reason, the </w:t>
      </w:r>
    </w:p>
    <w:p>
      <w:pPr>
        <w:pStyle w:val="TextBody"/>
        <w:bidi w:val="0"/>
        <w:spacing w:before="0" w:after="0"/>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44"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Executive’s Date of Termination shall be as provided in Section 5(c) above, unless the Company provides for an earlier Date of Termination, (iii) if the Executive’s employment is terminated by the Company other than for Cause or Disability, the Date of Termination shall be the date on which the Company notifies the Executive of such termination or any later date specified therein, as the case may be, and (iv) if the Executive’s employment is terminated by reason of death or Disability, the Date of Termination shall be the date of death of the Executive or the Disability Effective Date, as the case may be. </w:t>
      </w:r>
    </w:p>
    <w:p>
      <w:pPr>
        <w:pStyle w:val="TextBody"/>
        <w:bidi w:val="0"/>
        <w:spacing w:lineRule="auto" w:line="288" w:before="120" w:after="283"/>
        <w:jc w:val="left"/>
      </w:pPr>
      <w:r>
        <w:rPr>
          <w:rFonts w:ascii="Times New Roman;serif" w:hAnsi="Times New Roman;serif"/>
          <w:b w:val="false"/>
          <w:color w:val="000000"/>
          <w:sz w:val="22"/>
        </w:rPr>
        <w:t xml:space="preserve">6. </w:t>
      </w:r>
      <w:r>
        <w:rPr>
          <w:rFonts w:ascii="Times New Roman;serif" w:hAnsi="Times New Roman;serif"/>
          <w:b w:val="false"/>
          <w:color w:val="000000"/>
          <w:sz w:val="22"/>
          <w:u w:val="single"/>
        </w:rPr>
        <w:t>Obligations of the Company upon Termination</w:t>
      </w:r>
      <w:r>
        <w:rPr>
          <w:rFonts w:ascii="Times New Roman;serif" w:hAnsi="Times New Roman;serif"/>
          <w:b w:val="false"/>
          <w:color w:val="000000"/>
          <w:sz w:val="22"/>
        </w:rPr>
        <w:t>.</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Good Reason; Other Than for Cause, Death or Disability</w:t>
      </w:r>
      <w:r>
        <w:rPr>
          <w:rFonts w:ascii="Times New Roman;serif" w:hAnsi="Times New Roman;serif"/>
          <w:b w:val="false"/>
          <w:color w:val="000000"/>
          <w:sz w:val="22"/>
        </w:rPr>
        <w:t xml:space="preserve">. If, during the Employment Period, the Company shall terminate the Executive’s employment other than for death, Cause or Disability or the Executive shall terminate employment for Good Reason, then, if Executive executes and does not revoke a Release (as defined in Section 6(v)) within the time period required by the Company, Executive shall receive the following: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unless delay is required pursuant to Section 13(b) below, the Company shall pay to the Executive in a lump sum in cash within 75 days after the Date of Termination the aggregate of the following amounts: </w:t>
      </w:r>
    </w:p>
    <w:p>
      <w:pPr>
        <w:pStyle w:val="TextBody"/>
        <w:bidi w:val="0"/>
        <w:spacing w:lineRule="auto" w:line="288" w:before="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the sum of (1) the Executive’s Annual Base Salary through the Date of Termination to the extent not theretofore paid or deferred, (2) the product of (x) the higher of (I) the Recent Annual Bonus and (II) the Annual Bonus paid or payable, including any bonus or portion thereof which has been earned but deferred (and annualized for any fiscal year consisting of less than twelve full months or during which the Executive was employed for less than twelve full months), for the most recently completed fiscal year during the Employment Period, if any (such higher amount being referred to as the “Highest Annual Bonus”) and (y) a fraction, the numerator of which is the number of days in the current fiscal year through the Date of Termination, and the denominator of which is 365 and (3) any accrued vacation pay, to the extent not theretofore paid (the sum of the amounts described in clauses (1), (2), and (3) shall be hereinafter referred to as the “Accrued Obligations”; provided, however, that any such amounts that Executive shall have previously elected to defer shall not be paid in a lump sum in cash but shall instead be credited to the Executive’s account under the relevant deferred compensation plan and paid to the Executive in accordance with the terms of such plan); and </w:t>
      </w:r>
    </w:p>
    <w:p>
      <w:pPr>
        <w:pStyle w:val="TextBody"/>
        <w:bidi w:val="0"/>
        <w:spacing w:lineRule="auto" w:line="288" w:before="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amount equal to the product of (1) two and (2) the sum of (x) the Executive’s Annual Base Salary and (y) the Highest Annual Bonus; </w:t>
      </w:r>
    </w:p>
    <w:p>
      <w:pPr>
        <w:pStyle w:val="TextBody"/>
        <w:bidi w:val="0"/>
        <w:spacing w:lineRule="auto" w:line="288" w:before="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an amount equal to the value of the monthly premium cost that the Company would have had to pay to continue Executive and/or the Executive’s family in the plans, programs, practices and policies described in Section 4(b)(iv) of this Agreement (other than continuation of health benefits) if the Executive’s employment had not been terminated for the two year period following Executive’s Date of Termination; provided, that if the Executive is eligible for a death benefit under any Unisys death benefit only plan in accordance with the terms of such plan, no premium will be payable to the Executive for such benefit.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for a period of up to twenty-four (24) months following Executive’s Date of Termination, Executive and Executive’s spouse and eligible dependents, shall continue to be eligible to receive health benefits coverage under Company health plans described in Section 4(b)(iv) of this Agreement in accordance with the terms of the applicable plan documents, at the same premium rates as may be charged from time to time for employees of the Company generally, as if Executive had continued in employment with the Company during such period; </w:t>
      </w:r>
    </w:p>
    <w:p>
      <w:pPr>
        <w:pStyle w:val="TextBody"/>
        <w:bidi w:val="0"/>
        <w:spacing w:before="0" w:after="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45"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provided, that in order to receive such continued coverage at such rates, Executive shall be required to pay to the Company at the same time that premium payments are due for the month an amount equal to the full monthly premium required by the Company under such plans for such coverage (in accordance with payment instructions from the Company), and the Company shall reimburse to Executive, within 60 days following the date such monthly premium payment is due, an amount equal to the monthly premium payment, less the amount that Executive would have been required to pay for such coverage if Executive had remained employed by the Company at such time (the “Health Payment”). The period of continuation of group health plan coverage under section 4980B (“COBRA”) of the Internal Revenue Code of 1986, as amended (the “Code”) (the “COBRA Period”) runs concurrently during the period for which the Health Payment is paid to Executive. The Health Payment during the COBRA Period is intended to qualify for the exception for deferred compensation as a medical benefit provided in accordance with the requirements of Section 409A of the Code and Treas. Reg. §1.409A-1(b)(9)(v))(B). If Executive does not pay the applicable monthly premium for a particular month at any time during the twenty-four (24) months period, no further Health Payment will be paid to Executive. For purposes of determining eligibility (but not the time of commencement of benefits) of the Executive for retiree benefits pursuant to such health plans, the Executive shall be considered to have remained employed until two years after the Date of Termination and to have retired on the last day of such period, if permitted by the applicable plan;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(iii) the Company shall, at its sole expense as actually incurred by Executive, provide the Executive with reasonable outplacement services directly related to the termination of Executive’s employment with the Company, the provider of which shall be selected by the Executive in his sole discretion, provided that such outplacement service coverage shall not extend beyond the last day of the second taxable year of Executive following the taxable year of Executive in which the termination of employment occurred; and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(iv) to the extent not theretofore paid or provided, in accordance with the terms of the relevant plans, programs, policies or practices or contracts or agreements, the Company shall timely pay or provide to the Executive any other amounts or benefits required to be paid or provided or which the Executive is eligible to receive under any such plan, program, policy or practice or contract or agreement of the Company and its affiliated companies (such other amounts and benefits shall be hereinafter referred to as the “Other Benefits”).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If the Executive becomes entitled to the severance benefits provided in this Section 6(a) as a result of Section 1(a) of this Agreement and Executive’s termination prior to the Change of Control was for a reason under this Section 6(a), (A) the cash severance benefits payable to the Executive under clause 6(a)(i) shall be reduced by the amount payable to Executive on account of Executive’s termination prior to the Change of Control and, unless delay is required pursuant to Section 13(b) below, shall be paid to Executive within 75 days following the date of the Change of Control if the Change of Control constitutes a change in the ownership or effective control of the Company, or in the ownership of a substantial portion of the assets of the Company, within the meaning of Section 409A(a)(2)(A)(v) of the Code and its corresponding regulations (a “409A Change of Control”), or if the Change of Control does not constitute a 409A Change of Control, such amounts shall be paid to Executive within 75 days following the first anniversary of the Executive’s Date of Termination; (B) severance benefits provided pursuant to clause 6(a)(ii) shall only be applicable if the period provided in clause 6(a)(ii) is longer than that provided to Executive on Executive’s Date of Termination, and in such event, the period of time such severance benefits are provided shall be extended to reflect the additional period provided in clause 6(a)(ii) as </w:t>
      </w:r>
    </w:p>
    <w:p>
      <w:pPr>
        <w:pStyle w:val="TextBody"/>
        <w:bidi w:val="0"/>
        <w:spacing w:before="0" w:after="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46"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measured from Executive’s Date of Termination; (C) severance benefits provided in clause 6(a)(iii) shall apply as of the date of the Change of Control, provided that the measurement period for purposes of Section 409A of the Code commences on the Executive’s Date of Termination; and (D) the Other Benefits shall be payable in accordance with the terms of the applicable plans, programs, policies or practices or contracts or agreements.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Death</w:t>
      </w:r>
      <w:r>
        <w:rPr>
          <w:rFonts w:ascii="Times New Roman;serif" w:hAnsi="Times New Roman;serif"/>
          <w:b w:val="false"/>
          <w:color w:val="000000"/>
          <w:sz w:val="22"/>
        </w:rPr>
        <w:t xml:space="preserve">. If the Executive’s employment is terminated by reason of the Executive’s death during the Employment Period, this Agreement shall terminate without further obligations to the Executive’s legal representatives under this Agreement, other than for payment of Accrued Obligations and the timely payment or provision of Other Benefits. Accrued Obligations shall be paid to the Executive’s estate or beneficiary, as applicable, in a lump sum in cash within 75 days following the Date of Termination. With respect to the provision of Other Benefits, the term Other Benefits as utilized in this Section 6(b)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or, if more favorable to the Executive’s estate and/or the Executive’s beneficiaries, as in effect on the date of the Executive’s death with respect to other peer executives of the Company and its affiliated companies and their beneficiaries. </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Disability</w:t>
      </w:r>
      <w:r>
        <w:rPr>
          <w:rFonts w:ascii="Times New Roman;serif" w:hAnsi="Times New Roman;serif"/>
          <w:b w:val="false"/>
          <w:color w:val="000000"/>
          <w:sz w:val="22"/>
        </w:rPr>
        <w:t xml:space="preserve">. If the Executive’s employment is terminated by reason of the Executive’s Disability during the Employment Period, this Agreement shall terminate without further obligations to the Executive, other than for payment of Accrued Obligations and the timely payment or provision of Other Benefits. Unless delay is required pursuant to Section 13(b) below, Accrued Obligations shall be paid to the Executive in a lump sum in cash within 75 days following the Date of Termination. With respect to the provision of Other Benefits, the term Other Benefits as utilized in this Section 6(c)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the Executive and/or the Executive’s family, as in effect at any time thereafter generally with respect to other peer executives of the Company and its affiliated companies and their families. </w:t>
      </w:r>
    </w:p>
    <w:p>
      <w:pPr>
        <w:pStyle w:val="TextBody"/>
        <w:bidi w:val="0"/>
        <w:spacing w:before="0" w:after="0"/>
        <w:ind w:left="0" w:right="0" w:firstLine="979"/>
        <w:jc w:val="left"/>
      </w:pPr>
      <w:r/>
    </w:p>
    <w:p>
      <w:pPr>
        <w:pStyle w:val="TextBody"/>
        <w:bidi w:val="0"/>
        <w:spacing w:lineRule="auto" w:line="288" w:before="0" w:after="0"/>
        <w:ind w:left="0" w:right="0" w:firstLine="720"/>
        <w:jc w:val="left"/>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Cause; Other than for Good Reason</w:t>
      </w:r>
      <w:r>
        <w:rPr>
          <w:rFonts w:ascii="Times New Roman;serif" w:hAnsi="Times New Roman;serif"/>
          <w:b w:val="false"/>
          <w:color w:val="000000"/>
          <w:sz w:val="22"/>
        </w:rPr>
        <w:t xml:space="preserve">. If the Executive’s employment shall be terminated for Cause during the Employment Period, this Agreement shall terminate without further obligations to the Executive other than the obligation to pay to the Executive (x) his Annual Base Salary through the Date of Termination, and (y) Other Benefits, in each case to the extent not theretofore paid or deferred. If the Executive voluntarily terminates employment during the Employment Period, excluding a termination for Good Reason, this Agreement shall terminate without further obligations to the Executive, other than for Accrued Obligations and the timely payment or provision of Other Benefits. In such case, unless delay is required pursuant to Section 13(b) below, all Accrued Obligations shall be paid to the Executive in a lump sum in cash within 75 days following the Date of Termination. </w:t>
      </w:r>
    </w:p>
    <w:p>
      <w:pPr>
        <w:pStyle w:val="TextBody"/>
        <w:bidi w:val="0"/>
        <w:spacing w:before="0" w:after="0"/>
        <w:ind w:left="0" w:right="0" w:firstLine="979"/>
        <w:jc w:val="left"/>
      </w:pPr>
      <w:r/>
    </w:p>
    <w:p>
      <w:pPr>
        <w:pStyle w:val="TextBody"/>
        <w:bidi w:val="0"/>
        <w:spacing w:lineRule="auto" w:line="288"/>
        <w:ind w:left="0" w:right="0" w:firstLine="720"/>
        <w:jc w:val="left"/>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Notwithstanding the foregoing, no payments under this Section 6 of this Agreement shall be made unless Executive executes, and does not revoke, the Company’s standard written release, </w:t>
      </w: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47"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current version of which is substantially in the form attached hereto as Annex A (the “Release”), of any and all claims against the Company and all related parties with respect to all matters arising out of Executive’s employment by the Company (other than entitlements under the terms of this Agreement) or a termination thereof.</w:t>
      </w:r>
    </w:p>
    <w:p>
      <w:pPr>
        <w:pStyle w:val="TextBody"/>
        <w:bidi w:val="0"/>
        <w:spacing w:lineRule="auto" w:line="288" w:before="120" w:after="283"/>
        <w:jc w:val="left"/>
      </w:pPr>
      <w:r>
        <w:rPr>
          <w:rFonts w:ascii="Times New Roman;serif" w:hAnsi="Times New Roman;serif"/>
          <w:b w:val="false"/>
          <w:color w:val="000000"/>
          <w:sz w:val="22"/>
        </w:rPr>
        <w:t xml:space="preserve">7. </w:t>
      </w:r>
      <w:r>
        <w:rPr>
          <w:rFonts w:ascii="Times New Roman;serif" w:hAnsi="Times New Roman;serif"/>
          <w:b w:val="false"/>
          <w:color w:val="000000"/>
          <w:sz w:val="22"/>
          <w:u w:val="single"/>
        </w:rPr>
        <w:t>Non-exclusivity of Rights</w:t>
      </w:r>
      <w:r>
        <w:rPr>
          <w:rFonts w:ascii="Times New Roman;serif" w:hAnsi="Times New Roman;serif"/>
          <w:b w:val="false"/>
          <w:color w:val="000000"/>
          <w:sz w:val="22"/>
        </w:rPr>
        <w:t xml:space="preserve">. Nothing in this Agreement shall prevent or limit the Executive’s continuing or future participation in any plan, program, policy or practice provided by the Company or any of its affiliated companies and for which the Executive may qualify, nor, subject to Section 12(f),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 </w:t>
      </w:r>
    </w:p>
    <w:p>
      <w:pPr>
        <w:pStyle w:val="TextBody"/>
        <w:bidi w:val="0"/>
        <w:spacing w:lineRule="auto" w:line="288" w:before="120" w:after="283"/>
        <w:jc w:val="left"/>
      </w:pPr>
      <w:r>
        <w:rPr>
          <w:rFonts w:ascii="Times New Roman;serif" w:hAnsi="Times New Roman;serif"/>
          <w:b w:val="false"/>
          <w:color w:val="000000"/>
          <w:sz w:val="22"/>
        </w:rPr>
        <w:t xml:space="preserve">8. </w:t>
      </w:r>
      <w:r>
        <w:rPr>
          <w:rFonts w:ascii="Times New Roman;serif" w:hAnsi="Times New Roman;serif"/>
          <w:b w:val="false"/>
          <w:color w:val="000000"/>
          <w:sz w:val="22"/>
          <w:u w:val="single"/>
        </w:rPr>
        <w:t>Full Settlement</w:t>
      </w:r>
      <w:r>
        <w:rPr>
          <w:rFonts w:ascii="Times New Roman;serif" w:hAnsi="Times New Roman;serif"/>
          <w:b w:val="false"/>
          <w:color w:val="000000"/>
          <w:sz w:val="22"/>
        </w:rPr>
        <w:t xml:space="preserve">.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to the full extent permitted by law, all legal fees and expenses which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Code. </w:t>
      </w:r>
    </w:p>
    <w:p>
      <w:pPr>
        <w:pStyle w:val="TextBody"/>
        <w:bidi w:val="0"/>
        <w:spacing w:lineRule="auto" w:line="288" w:before="120" w:after="283"/>
        <w:jc w:val="left"/>
      </w:pPr>
      <w:r>
        <w:rPr>
          <w:rFonts w:ascii="Times New Roman;serif" w:hAnsi="Times New Roman;serif"/>
          <w:b w:val="false"/>
          <w:color w:val="000000"/>
          <w:sz w:val="22"/>
        </w:rPr>
        <w:t xml:space="preserve">9. </w:t>
      </w:r>
      <w:r>
        <w:rPr>
          <w:rFonts w:ascii="Times New Roman;serif" w:hAnsi="Times New Roman;serif"/>
          <w:b w:val="false"/>
          <w:color w:val="000000"/>
          <w:sz w:val="22"/>
          <w:u w:val="single"/>
        </w:rPr>
        <w:t>Certain Reductions in Payments</w:t>
      </w:r>
      <w:r>
        <w:rPr>
          <w:rFonts w:ascii="Times New Roman;serif" w:hAnsi="Times New Roman;serif"/>
          <w:b w:val="false"/>
          <w:color w:val="000000"/>
          <w:sz w:val="22"/>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Anything in this Agreement to the contrary notwithstanding, in the event Grant Thornton LLP or such other accounting firm as shall be designated by the Company prior to the Effective Date (the “Accounting Firm”) shall determine that receipt of all payments or distributions by the Company or its affiliated companies in the nature of compensation to or for the Executive’s benefit, whether paid or payable pursuant to this Agreement or otherwise (a “Payment”) would subject the Executive to the excise tax under Section 4999 of the Code, the Accounting Firm shall determine whether to reduce any of the Payments paid or payable pursuant to this Agreement (the “Agreement Payments”) to the Reduced Amount (as defined below). The Agreement Payments shall be reduced to the Reduced Amount only if the Accounting Firm determines that the Executive would have a greater Net After-Tax Receipt (as defined below) of aggregate Payments if the Executive’s Agreement Payments were reduced to the Reduced Amount. If such a determination is not made by the Accounting Firm, the Executive shall receive all Agreement Payments to which the Executive is entitled under this Agreement.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If the Accounting Firm determines that aggregate Agreement Payments should be reduced to the Reduced Amount, the Company shall promptly give the Executive notice to that effect and a copy of the detailed calculation thereof. All determinations made by the Accounting Firm under this Section 9 shall be binding upon the Company and the Executive and shall be made within 60 days of a termination of the Executive’s employment. The reduction of the amounts payable hereunder, if applicable, shall be made by reducing the payments and benefits under the following sections in the following order: Section </w:t>
      </w: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48"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6(a)(i)(B); Section 6(a)(iii); Section 6(a)(i)(C); Section 6(a)(ii). All fees and expenses of the Accounting Firm shall be borne solely by the Company.</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As a result of the uncertainty in the application of Section 4999 of the Code at the time of the initial determination by the Accounting Firm hereunder, it is possible that amounts will have been paid or distributed by the Company to or for the benefit of the Executive pursuant to this Agreement which should not have been so paid or distributed (“Overpayment”) or that additional amounts which will have not been paid or distributed by the Company to or for the benefit of the Executive pursuant to this Agreement could have been so paid or distributed (“Underpayment”), in each case, consistent with the calculation of the Reduced Amount hereunder. In the event that the Accounting Firm, based upon the assertion of a deficiency by the Internal Revenue Service against either the Company or the Executive which the Accounting Firm believes has a high probability of success determines that an Overpayment has been made, the Executive shall pay any such Overpayment to the Company together with interest at the applicable federal rate provided for in Section 7872(f)(2)(A) of the Code; provided, however, that no amount shall be payable by the Executive to the Company if and to the extent such payment would not either reduce the amount on which the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the Executive together with interest at the applicable federal rate provided for in Section 7872(f)(2)(A) of the Code.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For purposes hereof, the following terms have the meanings set forth below: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“Reduced Amount” shall mean the greatest amount of Agreement Payments that can be paid that would not result in the imposition of the excise tax under Section 4999 of the Code if the Accounting Firm determines to reduce Agreement Payments pursuant to Section 9(a).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“Net After-Tax Receipt” shall mean the present value (as determined in accordance with Sections 280G(b)(2)(A)(ii) and 280G(d)(4) of the Code)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Executive certifies, in the Executive’s sole discretion, as likely to apply to him in the relevant tax year(s).</w:t>
      </w:r>
    </w:p>
    <w:p>
      <w:pPr>
        <w:pStyle w:val="TextBody"/>
        <w:bidi w:val="0"/>
        <w:spacing w:lineRule="auto" w:line="288" w:before="120" w:after="283"/>
        <w:ind w:left="0" w:right="0" w:firstLine="720"/>
        <w:jc w:val="left"/>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Compliance with Company Policy</w:t>
      </w:r>
      <w:r>
        <w:rPr>
          <w:rFonts w:ascii="Times New Roman;serif" w:hAnsi="Times New Roman;serif"/>
          <w:b w:val="false"/>
          <w:color w:val="000000"/>
          <w:sz w:val="22"/>
        </w:rPr>
        <w:t>. For avoidance of doubt, all compensation, including any payment or benefit provided for in this Agreement, is paid pursuant to Company policy, including the Executive Clawback Policy for Recoupment of Erroneously Awarded Compensation.</w:t>
      </w:r>
    </w:p>
    <w:p>
      <w:pPr>
        <w:pStyle w:val="TextBody"/>
        <w:bidi w:val="0"/>
        <w:spacing w:lineRule="auto" w:line="288" w:before="120" w:after="283"/>
        <w:jc w:val="left"/>
      </w:pPr>
      <w:r>
        <w:rPr>
          <w:rFonts w:ascii="Times New Roman;serif" w:hAnsi="Times New Roman;serif"/>
          <w:b w:val="false"/>
          <w:color w:val="000000"/>
          <w:sz w:val="22"/>
        </w:rPr>
        <w:t xml:space="preserve">10. </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 xml:space="preserve">.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Further, pursuant to the Federal Defend Trade Secrets Act, the Executive cannot be held criminally or civilly liable under any federal or state trade secret law for disclosing a trade secret if that disclosure is made: (i) in confidence to a federal, state, or </w:t>
      </w: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49"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local government official, either directly or indirectly, or to any attorney, and for the sole purpose of reporting or investigating a suspected violation of law; or (ii) in a complaint or other document filed in a lawsuit or similar proceeding, provided that filing is made under seal. In no event shall an asserted violation of the provisions of this Section 10 constitute a basis for deferring or withholding any amounts otherwise payable to the Executive under this Agreement. </w:t>
      </w:r>
    </w:p>
    <w:p>
      <w:pPr>
        <w:pStyle w:val="TextBody"/>
        <w:bidi w:val="0"/>
        <w:spacing w:lineRule="auto" w:line="288" w:before="120" w:after="283"/>
        <w:jc w:val="left"/>
      </w:pPr>
      <w:r>
        <w:rPr>
          <w:rFonts w:ascii="Times New Roman;serif" w:hAnsi="Times New Roman;serif"/>
          <w:b w:val="false"/>
          <w:color w:val="000000"/>
          <w:sz w:val="22"/>
        </w:rPr>
        <w:t xml:space="preserve">11. </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This Agreement shall inure to the benefit of and be binding upon the Company and its successors and assigns.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 </w:t>
      </w:r>
    </w:p>
    <w:p>
      <w:pPr>
        <w:pStyle w:val="TextBody"/>
        <w:bidi w:val="0"/>
        <w:spacing w:lineRule="auto" w:line="288" w:before="120" w:after="283"/>
        <w:jc w:val="left"/>
      </w:pPr>
      <w:r>
        <w:rPr>
          <w:rFonts w:ascii="Times New Roman;serif" w:hAnsi="Times New Roman;serif"/>
          <w:b w:val="false"/>
          <w:color w:val="000000"/>
          <w:sz w:val="22"/>
        </w:rPr>
        <w:t xml:space="preserve">12. </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 </w:t>
      </w:r>
    </w:p>
    <w:p>
      <w:pPr>
        <w:pStyle w:val="TextBody"/>
        <w:bidi w:val="0"/>
        <w:spacing w:before="0" w:after="0"/>
        <w:ind w:left="0" w:right="0" w:firstLine="979"/>
        <w:jc w:val="left"/>
      </w:p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All notices and other communications hereunder shall be in writing and shall be given by electronic mail communication (with receipt thereof confirmed in writing by reply to all parties on the communication), or hand delivery to the other party or by registered or certified mail, return receipt requested, postage prepaid, addressed as follows: </w:t>
      </w:r>
    </w:p>
    <w:p>
      <w:pPr>
        <w:pStyle w:val="TextBody"/>
        <w:bidi w:val="0"/>
        <w:spacing w:before="60" w:after="60"/>
        <w:ind w:left="0" w:right="0" w:firstLine="979"/>
        <w:jc w:val="left"/>
      </w:pPr>
      <w:r/>
    </w:p>
    <w:p>
      <w:pPr>
        <w:pStyle w:val="TextBody"/>
        <w:bidi w:val="0"/>
        <w:spacing w:lineRule="auto" w:line="288" w:before="60" w:after="60"/>
        <w:ind w:left="0" w:right="0" w:firstLine="979"/>
        <w:jc w:val="left"/>
      </w:pPr>
      <w:r>
        <w:rPr>
          <w:rFonts w:ascii="Times New Roman;serif" w:hAnsi="Times New Roman;serif"/>
          <w:b w:val="false"/>
          <w:color w:val="000000"/>
          <w:sz w:val="22"/>
          <w:u w:val="single"/>
        </w:rPr>
        <w:t>If to the Executive</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    [EXECUTIVE NAME]</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Address:    [ADDRESS]</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[CITY, STATE, ZIP]        </w:t>
      </w:r>
    </w:p>
    <w:p>
      <w:pPr>
        <w:pStyle w:val="TextBody"/>
        <w:bidi w:val="0"/>
        <w:spacing w:before="0" w:after="0"/>
        <w:jc w:val="left"/>
      </w:pPr>
      <w:r/>
    </w:p>
    <w:p>
      <w:pPr>
        <w:pStyle w:val="TextBody"/>
        <w:bidi w:val="0"/>
        <w:spacing w:lineRule="auto" w:line="288" w:before="0" w:after="0"/>
        <w:ind w:left="0" w:right="0" w:firstLine="979"/>
        <w:jc w:val="left"/>
      </w:pPr>
      <w:r>
        <w:rPr>
          <w:rFonts w:ascii="Times New Roman;serif" w:hAnsi="Times New Roman;serif"/>
          <w:b w:val="false"/>
          <w:color w:val="000000"/>
          <w:sz w:val="22"/>
          <w:u w:val="single"/>
        </w:rPr>
        <w:t>If to the Company</w:t>
      </w:r>
      <w:r>
        <w:rPr>
          <w:rFonts w:ascii="Times New Roman;serif" w:hAnsi="Times New Roman;serif"/>
          <w:b w:val="false"/>
          <w:color w:val="000000"/>
          <w:sz w:val="22"/>
        </w:rPr>
        <w:t xml:space="preserve">: </w:t>
      </w:r>
    </w:p>
    <w:p>
      <w:pPr>
        <w:pStyle w:val="TextBody"/>
        <w:bidi w:val="0"/>
        <w:spacing w:lineRule="auto" w:line="288" w:before="60" w:after="283"/>
        <w:ind w:left="0" w:right="0" w:firstLine="979"/>
        <w:jc w:val="left"/>
        <w:rPr>
          <w:rFonts w:ascii="Times New Roman;serif" w:hAnsi="Times New Roman;serif"/>
          <w:b w:val="false"/>
          <w:color w:val="000000"/>
          <w:sz w:val="22"/>
        </w:rPr>
      </w:pPr>
      <w:r>
        <w:rPr>
          <w:rFonts w:ascii="Times New Roman;serif" w:hAnsi="Times New Roman;serif"/>
          <w:b w:val="false"/>
          <w:color w:val="000000"/>
          <w:sz w:val="22"/>
        </w:rPr>
        <w:t xml:space="preserve">801 Lakeview Drive, Suite 100 </w:t>
      </w:r>
    </w:p>
    <w:p>
      <w:pPr>
        <w:pStyle w:val="TextBody"/>
        <w:bidi w:val="0"/>
        <w:spacing w:lineRule="auto" w:line="288" w:before="0" w:after="0"/>
        <w:ind w:left="0" w:right="0" w:firstLine="979"/>
        <w:jc w:val="left"/>
        <w:rPr>
          <w:rFonts w:ascii="Times New Roman;serif" w:hAnsi="Times New Roman;serif"/>
          <w:b w:val="false"/>
          <w:color w:val="000000"/>
          <w:sz w:val="22"/>
        </w:rPr>
      </w:pPr>
      <w:r>
        <w:rPr>
          <w:rFonts w:ascii="Times New Roman;serif" w:hAnsi="Times New Roman;serif"/>
          <w:b w:val="false"/>
          <w:color w:val="000000"/>
          <w:sz w:val="22"/>
        </w:rPr>
        <w:t xml:space="preserve">Blue Bell, PA 19422 </w:t>
      </w:r>
    </w:p>
    <w:p>
      <w:pPr>
        <w:pStyle w:val="TextBody"/>
        <w:bidi w:val="0"/>
        <w:spacing w:lineRule="auto" w:line="288" w:before="0" w:after="0"/>
        <w:ind w:left="0" w:right="0" w:firstLine="979"/>
        <w:jc w:val="left"/>
        <w:rPr>
          <w:rFonts w:ascii="Times New Roman;serif" w:hAnsi="Times New Roman;serif"/>
          <w:b w:val="false"/>
          <w:color w:val="000000"/>
          <w:sz w:val="22"/>
        </w:rPr>
      </w:pPr>
      <w:r>
        <w:rPr>
          <w:rFonts w:ascii="Times New Roman;serif" w:hAnsi="Times New Roman;serif"/>
          <w:b w:val="false"/>
          <w:color w:val="000000"/>
          <w:sz w:val="22"/>
        </w:rPr>
        <w:t xml:space="preserve">Attention: General Counsel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120"/>
        <w:jc w:val="left"/>
      </w:pPr>
      <w:r/>
    </w:p>
    <w:p>
      <w:pPr>
        <w:pStyle w:val="TextBody"/>
        <w:bidi w:val="0"/>
        <w:spacing w:before="0" w:after="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50"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pPr>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Notice by electronic mail shall be sent as follows: </w:t>
      </w:r>
    </w:p>
    <w:p>
      <w:pPr>
        <w:pStyle w:val="TextBody"/>
        <w:bidi w:val="0"/>
        <w:spacing w:lineRule="auto" w:line="288" w:before="0" w:after="120"/>
        <w:jc w:val="left"/>
      </w:pPr>
      <w:r>
        <w:rPr>
          <w:rFonts w:ascii="Times New Roman;serif" w:hAnsi="Times New Roman;serif"/>
          <w:b w:val="false"/>
          <w:color w:val="000000"/>
          <w:sz w:val="22"/>
          <w:u w:val="single"/>
        </w:rPr>
        <w:t>If to the</w:t>
      </w:r>
      <w:r>
        <w:rPr>
          <w:color w:val="000000"/>
          <w:u w:val="single"/>
        </w:rPr>
        <w:t xml:space="preserve"> </w:t>
      </w:r>
      <w:r>
        <w:rPr>
          <w:rFonts w:ascii="Times New Roman;serif" w:hAnsi="Times New Roman;serif"/>
          <w:b w:val="false"/>
          <w:color w:val="000000"/>
          <w:sz w:val="22"/>
          <w:u w:val="single"/>
        </w:rPr>
        <w:t>Executive</w:t>
      </w:r>
      <w:r>
        <w:rPr>
          <w:rFonts w:ascii="Times New Roman;serif" w:hAnsi="Times New Roman;serif"/>
          <w:b w:val="false"/>
          <w:color w:val="000000"/>
          <w:sz w:val="22"/>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electronic mail address as maintained in the Company’s Human Resources Information System. </w:t>
      </w:r>
    </w:p>
    <w:p>
      <w:pPr>
        <w:pStyle w:val="TextBody"/>
        <w:bidi w:val="0"/>
        <w:spacing w:lineRule="auto" w:line="288" w:before="276" w:after="120"/>
        <w:jc w:val="left"/>
      </w:pPr>
      <w:r>
        <w:rPr>
          <w:rFonts w:ascii="Times New Roman;serif" w:hAnsi="Times New Roman;serif"/>
          <w:b w:val="false"/>
          <w:color w:val="000000"/>
          <w:sz w:val="22"/>
          <w:u w:val="single"/>
        </w:rPr>
        <w:t>If to the</w:t>
      </w:r>
      <w:r>
        <w:rPr>
          <w:color w:val="000000"/>
          <w:u w:val="single"/>
        </w:rPr>
        <w:t xml:space="preserve"> </w:t>
      </w:r>
      <w:r>
        <w:rPr>
          <w:rFonts w:ascii="Times New Roman;serif" w:hAnsi="Times New Roman;serif"/>
          <w:b w:val="false"/>
          <w:color w:val="000000"/>
          <w:sz w:val="22"/>
          <w:u w:val="single"/>
        </w:rPr>
        <w:t>Company</w:t>
      </w:r>
      <w:r>
        <w:rPr>
          <w:rFonts w:ascii="Times New Roman;serif" w:hAnsi="Times New Roman;serif"/>
          <w:b w:val="false"/>
          <w:color w:val="000000"/>
          <w:sz w:val="22"/>
        </w:rPr>
        <w:t>:</w:t>
      </w:r>
    </w:p>
    <w:p>
      <w:pPr>
        <w:pStyle w:val="TextBody"/>
        <w:bidi w:val="0"/>
        <w:spacing w:lineRule="auto" w:line="288" w:before="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electronic mail address of the General Counsel of the Company.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or to such other address as either party shall have furnished to the other in writing in accordance herewith. Notice and communications shall be effective when actually received by the addressee.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The invalidity or unenforceability of any provision of this Agreement shall not affect the validity or enforceability of any other provision of this Agreement.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The Company may withhold from any amounts payable under this Agreement such Federal, state, local or foreign taxes as shall be required to be withheld pursuant to any applicable law or regulation.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(e)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5(c)(i)-(v) of this Agreement, shall not be deemed to be a waiver of such provision or right or any other provision or right of this Agreement. </w:t>
      </w:r>
    </w:p>
    <w:p>
      <w:pPr>
        <w:pStyle w:val="TextBody"/>
        <w:bidi w:val="0"/>
        <w:spacing w:lineRule="auto" w:line="288" w:before="12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 xml:space="preserve">(f) The Executive and the Company acknowledge that, except as may otherwise be provided under any other written agreement between the Executive and the Company, the employment of the Executive by the Company is “at will” and, subject to Section 1(a) hereof, prior to the Effective Date, the Executive’s employment and/or this Agreement may be terminated by either the Executive or the Company at any time prior to the Effective Date, in which case the Executive shall have no further rights under this Agreement. From and after the Effective Date this Agreement shall supersede any other agreement between the parties with respect to the subject matter hereof. </w:t>
      </w:r>
    </w:p>
    <w:p>
      <w:pPr>
        <w:pStyle w:val="TextBody"/>
        <w:bidi w:val="0"/>
        <w:spacing w:lineRule="auto" w:line="288" w:before="120" w:after="283"/>
        <w:jc w:val="left"/>
      </w:pPr>
      <w:r>
        <w:rPr>
          <w:rFonts w:ascii="Times New Roman;serif" w:hAnsi="Times New Roman;serif"/>
          <w:b w:val="false"/>
          <w:color w:val="000000"/>
          <w:sz w:val="22"/>
        </w:rPr>
        <w:t xml:space="preserve">13. </w:t>
      </w:r>
      <w:r>
        <w:rPr>
          <w:rFonts w:ascii="Times New Roman;serif" w:hAnsi="Times New Roman;serif"/>
          <w:b w:val="false"/>
          <w:color w:val="000000"/>
          <w:sz w:val="22"/>
          <w:u w:val="single"/>
        </w:rPr>
        <w:t>Compliance with Section 409A of the Code</w:t>
      </w:r>
      <w:r>
        <w:rPr>
          <w:rFonts w:ascii="Times New Roman;serif" w:hAnsi="Times New Roman;serif"/>
          <w:b w:val="false"/>
          <w:color w:val="000000"/>
          <w:sz w:val="22"/>
        </w:rPr>
        <w:t xml:space="preserve">. </w:t>
      </w:r>
    </w:p>
    <w:p>
      <w:pPr>
        <w:pStyle w:val="TextBody"/>
        <w:bidi w:val="0"/>
        <w:spacing w:lineRule="auto" w:line="288" w:before="60" w:after="283"/>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(a) 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and, if necessary, any such provision shall be deemed amended to comply with Section 409A of the Code and regulations thereunder. All payments to be made upon a termination of employment under this Agreement may only be made upon a “separation from service”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For purposes of Section 409A of the Code, each payment made under this Agreement shall be treated as a separate payment. In no event may Executive, directly or indirectly, designate the calendar year of any payment to be made under this Agreement. If the period to review and revoke the Release begins in one calendar year and ends in the next calendar year, the payment will be made in the second calendar year on a date determined by the Company if the payment is nonqualified deferred compensation subject to Section 409A of the Code.</w:t>
      </w:r>
    </w:p>
    <w:p>
      <w:pPr>
        <w:pStyle w:val="TextBody"/>
        <w:bidi w:val="0"/>
        <w:spacing w:before="0" w:after="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51"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 xml:space="preserve">(b) Notwithstanding any provision to the contrary in this Agreement, if on the date of Executive’s separation from service, Executive is a “specified employee” (as such term is defined in Section 409A(a)(2)(B)(i) of the Code and its corresponding regulations) as determined in the sole discretion of the Company (or any successor thereto) in accordance with the Company’s (or any successor’s) “specified employee” determination policy, then all severance benefits payable to Executive under this Agreement that are deemed as deferred compensation subject to the requirements of Section 409A of the Code shall be postponed for a period of six months following Executive’s separation from service with the Company (or any successor thereto). The postponed amounts shall be paid to Executive in a lump sum on the first business day after the date that is six months following Executive’s separation from service with the Company (or any successor thereto). If Executive dies during such six-month period and prior to payment of the postponed amounts hereunder, the amounts delayed on account of Section 409A of the Code shall be paid to the personal representative of Executive’s estate within 75 days after Executive’s death. </w:t>
      </w:r>
    </w:p>
    <w:p>
      <w:pPr>
        <w:pStyle w:val="TextBody"/>
        <w:bidi w:val="0"/>
        <w:spacing w:lineRule="auto" w:line="288" w:before="120" w:after="283"/>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 xml:space="preserve">(c) All reimbursements provided under this Agreement that are provided under a nonqualified deferred compensation plan within the meaning of Section 409A of the Code and Treas. Reg. §1.409A-1(a) shall be made or provided in accordance with the requirements of Section 409A of the Code and Treas. Reg. §1.409A-3(i)(1)(iv). </w:t>
      </w:r>
    </w:p>
    <w:p>
      <w:pPr>
        <w:pStyle w:val="TextBody"/>
        <w:bidi w:val="0"/>
        <w:spacing w:lineRule="auto" w:line="288" w:before="120" w:after="283"/>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 xml:space="preserve">(d) Notwithstanding anything herein to the contrary, if Executive is entitled to severance benefits prior to the Change of Control in a form other than in a lump sum, the severance benefits payable under this Agreement in the form of a lump sum shall only be paid in a lump sum if the Change of Control qualifies as a 409A Change of Control and the Executive’s Date of Termination occurs within the two year period following the date of the 409A Change of Control. If the Change of Control does not qualify as a 409A Change of Control or Executive’s Date of Termination is after the second anniversary of the 409A Change of Control, the severance benefits payable under this Agreement will be payable in the same form as the severance benefits that were payable to Executive for periods prior to a Change of Control. </w:t>
      </w:r>
    </w:p>
    <w:p>
      <w:pPr>
        <w:pStyle w:val="TextBody"/>
        <w:bidi w:val="0"/>
        <w:spacing w:before="0" w:after="0"/>
        <w:ind w:left="0" w:right="0" w:firstLine="490"/>
        <w:jc w:val="left"/>
      </w:pPr>
      <w:r/>
    </w:p>
    <w:p>
      <w:pPr>
        <w:pStyle w:val="TextBody"/>
        <w:bidi w:val="0"/>
        <w:spacing w:lineRule="auto" w:line="288" w:before="0" w:after="0"/>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 xml:space="preserve">IN WITNESS WHEREOF, the Executive has hereunto set the Executive’s hand and the Company has caused these presents to be executed in its name on its behalf, all as of the day and year first above written. </w:t>
      </w:r>
    </w:p>
    <w:tbl>
      <w:tblPr>
        <w:tblW w:w="5905" w:type="dxa"/>
        <w:jc w:val="left"/>
        <w:tblInd w:w="0" w:type="dxa"/>
        <w:tblLayout w:type="fixed"/>
        <w:tblCellMar>
          <w:top w:w="28" w:type="dxa"/>
          <w:left w:w="28" w:type="dxa"/>
          <w:bottom w:w="28" w:type="dxa"/>
          <w:right w:w="28" w:type="dxa"/>
        </w:tblCellMar>
      </w:tblPr>
      <w:tblGrid>
        <w:gridCol w:w="1071"/>
        <w:gridCol w:w="941"/>
        <w:gridCol w:w="943"/>
        <w:gridCol w:w="109"/>
        <w:gridCol w:w="109"/>
        <w:gridCol w:w="109"/>
        <w:gridCol w:w="277"/>
        <w:gridCol w:w="277"/>
        <w:gridCol w:w="277"/>
        <w:gridCol w:w="277"/>
        <w:gridCol w:w="277"/>
        <w:gridCol w:w="277"/>
        <w:gridCol w:w="277"/>
        <w:gridCol w:w="277"/>
        <w:gridCol w:w="407"/>
      </w:tblGrid>
      <w:t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OF EXECUTIVE]</w:t>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UNISYS CORPORATION </w:t>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76" w:before="0" w:after="20"/>
              <w:jc w:val="left"/>
              <w:rPr>
                <w:color w:val="000000"/>
              </w:rPr>
            </w:pPr>
            <w:r>
              <w:rPr>
                <w:color w:val="000000"/>
              </w:rPr>
              <w:t> </w:t>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pPr>
      <w:r/>
    </w:p>
    <w:p>
      <w:pPr>
        <w:pStyle w:val="TextBody"/>
        <w:bidi w:val="0"/>
        <w:spacing w:before="0" w:after="0"/>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2"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FORM OF RELEASE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GENERAL RELEASE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1.    I, _________________, agree that I have been allowed at least twenty-one (21) days to consider the meaning and effect of this Release (this “Release”) and that this Release constitutes written notice that I have been advised to consult with an attorney prior to executing this Release. You agree that any modifications, material or otherwise, made to this agreement do not restart or affect in any manner the original at least twenty-one (21) calendar day consideration period.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2.    I acknowledge that I have seven (7) days from the day I sign this Release to revoke my acceptance of this Release and this Release shall not become effective or enforceable until this revocation period has expired. To the extent the Release purports to release claims pursuant to the Minnesota Human Rights Act, I acknowledge that I have fifteen (15) days from the day I sign this Release to revoke my acceptance of this Release and this Release shall not become effective or enforceable until the sixteenth (16th) day after the day I have signed and returned it, provided that I have not revoked this Release during the Revocation Period.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3.    I acknowledge that all amounts payable pursuant to the letter agreement dated as of _________________ (the “Agreement”) that I have entered into with Unisys Corporation (the “Company”) are subject to applicable tax withholdings. In addition, I acknowledge that I am solely responsible for all taxes that may result from my receipt of the amounts payable and benefits to be provided to me under the Agreement, and neither the Company nor any of its affiliates makes or has made any representation, warranty or guarantee of any federal, state or local tax consequences to me of my receipt of any payment or benefit hereunder, including, but not limited to, under Section 409A of the Internal Revenue Code of 1986, as amended.</w:t>
      </w:r>
    </w:p>
    <w:p>
      <w:pPr>
        <w:pStyle w:val="TextBody"/>
        <w:bidi w:val="0"/>
        <w:spacing w:lineRule="auto" w:line="288" w:before="0" w:after="240"/>
        <w:jc w:val="both"/>
      </w:pPr>
      <w:r>
        <w:rPr>
          <w:rFonts w:ascii="Times New Roman;serif" w:hAnsi="Times New Roman;serif"/>
          <w:b w:val="false"/>
          <w:color w:val="000000"/>
          <w:sz w:val="22"/>
        </w:rPr>
        <w:t>4.    In consideration for the payments to me by the Company under the Agreement and other good and valuable consideration, which I acknowledge are adequate and satisfactory to me, and intending to be legally bound, I knowingly and voluntarily hereby release the Company, its shareholders, directors, officers, employees, agents, benefit plans, attorneys, affiliates, parents, subsidiaries, predecessors, successors, assigns, and all persons acting by, through, under or in concert with any of them (collectively,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xml:space="preserve">), from any and all rights, causes of action, suits, debts, claims and demands in law or in equity (collectively, “Claims”), known or unknown, that I or which my heirs, executors or administrators may have now or in the future may arise based on, arising out of or relating to my employment with the Company or the termination thereof for any and all reasons. Said release includes, but is not limited to, any Claims which I may have against any of the Released Parties based upon Title VII of the Civil Rights Act of 1964, 42 U.S.C. § 2000e et seq., as amended, the Civil Rights Act of 1866, 42 U.S.C. § 1981, as amended (including, but not limited to, 42 U.S.C. § 1981a), the Americans with Disabilities Act of 1990, 42 U.S.C. § 12101 et seq., as amended, the Age Discrimination in Employment Act, 29 U.S.C. § 621 et seq., as amended, including the Older Workers Benefit Protection Act (“OWBPA”); the Employee Retirement Income Security Act of 1974, 29 U.S.C. § 1001 et seq., as amended, the Family Medical Leave Act, 29 U.S.C. § 2601 et seq., as amended, any applicable state laws identified on Schedule 1 hereto (to the greatest extent such release is permissible under applicable law), as well as any Claims for breach of any employment contract or agreement (written, oral, or implied), </w:t>
      </w:r>
    </w:p>
    <w:p>
      <w:pPr>
        <w:pStyle w:val="TextBody"/>
        <w:bidi w:val="0"/>
        <w:spacing w:before="0" w:after="0"/>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53"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wrongful discharge, breach of the covenant of good faith and fair dealing, promissory and/or equitable estoppel, tort claims of any nature, and any Claims which may have been asserted under the common law or any other federal, state or local law, as well as all claims for counsel fees and costs. This Release covers claims that I know about and those that I may not know about up through the date of this Release. Notwithstanding the generality of the foregoing, I am not releasing or waiving any rights I may have: (i) under COBRA; (ii) to my own vested accrued employee benefits under Unisys’s health, welfare, or retirement benefit plans as of the last date of employment; (iii) to benefits and/or the right to seek benefits under applicable workers’ compensation and/or unemployment compensation statutes; (iv) to pursue claims which by law cannot be waived by signing this Agreement and/or which may arise after the execution of this Agreement; (v) to enforce this Agreement; and/or (vi) to challenge the validity of this Agreement.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5.    I acknowledge that, by reason of the position which I held within Unisys that I have become familiar with highly confidential and/or proprietary information relating to the business of Unisys such as various customer lists, sales and marketing strategies and plans, bids, projections, costs, financial data, personnel information developments, improvements, processes, methods, tools and customer relationships. I further recognize that the business of Unisys is highly competitive, and that Unisys has a legitimate business interest in preserving any and all trade secrets and other highly confidential and/or proprietary information that I may have acquired from Unisys, which are essential to the continued success of Unisys, and that Unisys will suffer irreparable harm should such confidential information be utilized by a competitor. I further acknowledge that all such confidential and/or proprietary information and trade secrets acquired through my employment are owned and shall continue to be owned by Unisys.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6.    I agree that I will not, at any time, whether during my term of employment or thereafter, disclose to any unauthorized person, firm or corporation any information I acquired in confidence through my employment with Unisys, it being understood that all such confidential and/or proprietary information constitutes trade secrets that are material to the successful conduct of Unisys and belong exclusively to Unisys. By way of example and not limitation, such confidential and/or proprietary information and trade secrets include any and all information, not otherwise available to the public, concerning: (i) marketing plans, business plans, strategies, forecasts, unpublished financial statements, budgets, bids, projections and costs; (ii) personnel information; (iii) customer lists, customer and supplier transaction histories, identities, contacts, volumes, characteristics, agreements and prices; (iv) information regarding promotional, operational, program management, sales, marketing, research and development techniques, methods and reports and (v) other trade secrets. I specifically acknowledge that such confidential and/or proprietary information and trade secrets have commercial value to Unisys, the unauthorized disclosure of which could be detrimental to the interests of Unisys, whether or not such information is specifically identified as “Confidential” and/or “Proprietary” information by Unisys. Provided, however, that the restrictions of this paragraph shall not extend to any information or materials that are either known to the public or that can be derived, compiled or learned by a third party without significant effort or expense. Nothing in this Release, any other agreement between Unisys and myself, or any other policies of Unisys shall prohibit or restrict me or my attorneys from: (a) making any disclosure of relevant and necessary information or documents in any action, investigation, or proceeding relating to this Release, or as required by law or legal process, including with respect to possible violations of the law; (b) participating, cooperating, or testifying in any action, investigation, or proceeding with, or providing information to, any governmental agency or legislative body, any self-regulatory organization, and/or pursuant to the Sarbanes-Oxley Act; or (c) accepting any U.S. Securities and Exchange Commission awards. Notwithstanding my preexisting obligations with respect to Unisys’s confidential information, pursuant to </w:t>
      </w:r>
    </w:p>
    <w:p>
      <w:pPr>
        <w:pStyle w:val="TextBody"/>
        <w:bidi w:val="0"/>
        <w:spacing w:before="0" w:after="0"/>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54"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federal Defend Trade Secrets Act, I understand that I cannot be held criminally or civilly liable under any federal or state trade secret law for disclosing a trade secret if that disclosure is made: (i) in confidence to a federal, state, or local government official, either directly or indirectly, or to any attorney, and for the sole purpose of reporting or investigating a suspected violation of law; or (ii) in a complaint or other document filed in a lawsuit or similar proceeding, provided that filing is made under seal.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7.    I acknowledge that the restrictions contained in the foregoing paragraphs 5 and 6, in view of the nature of the work performed by Unisys, are reasonable and necessary in order to protect the legitimate interests of Unisys, and that any violation thereof may result in irreparable injuries to Unisys, and I therefore acknowledge that, in the event of any violation of any of these restrictions, Unisys may be entitled to obtain from any court of competent jurisdiction preliminary and permanent injunctive relief as well as damages and an equitable accounting of all earnings, profits and other benefits arising from such violation, which rights shall be cumulative and in addition to any other rights or remedies to which Unisys may be entitled.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8.    Nothing in this Release shall prohibit or restrict me, Unisys, or their respective attorneys from: (i) filing or disclosing any facts necessary to receive unemployment insurance, Medicaid, or other public benefits to which I am entitled; (ii) making any disclosure of relevant and necessary information or documents in connection with any charge, action, investigation, or proceeding relating to this Release or as required by law or legal process; (iii) initiating, testifying, assisting, complying with a subpoena from, or participating in any manner with an investigation conducted by a self-regulatory authority or a government agency or entity, including without limitation, the U.S. Department of Labor, the National Labor Relations Board, the U.S. Department of Justice, the U.S. Securities and Exchange Commission, the U.S. Commodities Futures Trading Commission, the Financial Industry Regulatory Authority, the Occupational Safety and Health Administration, the U.S. Congress, any other federal, state, or local government agency or commission, and any agency Inspector General (collectively, the "Regulators"), or from making other disclosures that are protected under the whistleblower provisions of federal, state, or local law or regulation; to the extent permitted by law, upon receipt of any subpoena, court order or other legal process compelling the disclosure of any such information or documents, I shall give prompt written notice to Unisys so as to permit Unisys to protect its interests in confidentiality to the fullest extent possible. I do not need the prior authorization of Unisys to engage in conduct protected by this paragraph, and I do not need to notify Unisys that I have engaged in such conduct. This Release does not limit my right to receive an award from any Regulator that provides awards for providing information relating to a potential violation of the law. I recognize and agree that, in connection with any such activity outlined above, I must inform the Regulators, my attorney, a court or a government official that the information I am providing is confidential. Despite the foregoing, I am not permitted to reveal to any third-party, including any governmental, law enforcement, or regulatory authority, information I came to learn during the course of my employment with Unisys that is protected from disclosure by any applicable privilege, including but not limited to the attorney-client privilege and/or attorney work product doctrine. Unisys does not waive any applicable privileges or the right to continue to protect its privileged attorney-client information, attorney work product, and other privileged information.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9.    If in connection with any investigation, government inquiry, threatened litigation, or filed litigation involving Unisys, I am called upon to assist Unisys; to provide evidence; or to testify in any manner, I agree to reasonably cooperate fully with Unisys in connection with any matter arising out of or related to my former employment. If requested by Unisys, I agree to be present and participate in the trial </w:t>
      </w:r>
    </w:p>
    <w:p>
      <w:pPr>
        <w:pStyle w:val="TextBody"/>
        <w:bidi w:val="0"/>
        <w:spacing w:before="0" w:after="0"/>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55"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any such matter. I will, to the extent permitted by applicable law, be reimbursed for my reasonable costs and expenses for any time spent assisting Unisys in this regard.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10.    In the event that, any one or more provisions (or portion thereof) of this Release is held to be invalid, unlawful or unenforceable for any reason, the invalid, unlawful or unenforceable provision (or portion thereof) shall be construed or modified so as to provide the Released Parties with the maximum protection that is valid, lawful and enforceable, consistent with my intent in entering into this Release. If such provision (or portion thereof) cannot be construed or modified so as to be valid, lawful and enforceable, that provision (or portion thereof) shall be construed as narrowly as possible and shall be severed from the remainder of this Release (or provision), and the remainder shall remain in effect and be construed as broadly as possible, as if such invalid, unlawful or unenforceable provision (or portion thereof) had never been contained in this Release.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11.    This Release shall be construed and enforced under and in accordance with the laws of the Commonwealth of Pennsylvania.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THE COMPANY HEREBY ADVISES YOU THAT YOU HAVE AT LEAST TWENTY-ONE (21) CALENDAR DAYS TO REVIEW THIS RELEASE AND HEREBY ADVISES YOU TO CONSULT WITH AN ATTORNEY PRIOR TO EXECUTION OF THIS RELEASE.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YOU AGREE THAT ANY MODIFICATIONS, MATERIAL OR OTHERWISE, MADE TO THIS RELEASE DO NOT RESTART OR AFFECT IN ANY MANNER THE ORIGINAL AT LEAST TWENTY-ONE (21) CALENDAR DAY CONSIDERATION PERIOD.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HAVING ELECTED TO EXECUTE THIS RELEASE, TO FULFILL THE PROMISES AND TO RECEIVE THE CONSIDERATION IN ACCORDANCE WITH THE AGREEMENT REFERENCES IN PARAGRAPH 3 ABOVE, YOU FREELY AND KNOWINGLY, AND AFTER DUE CONSIDERATION, ENTER INTO THIS RELEASE INTENDING TO WAIVE, SETTLE AND RELEASE ALL CLAIMS YOU HAVE OR MIGHT HAVE AGAINST RELEASEES AS SET FORTH IN THIS AGREEMENT.</w:t>
      </w:r>
    </w:p>
    <w:p>
      <w:pPr>
        <w:pStyle w:val="TextBody"/>
        <w:bidi w:val="0"/>
        <w:spacing w:before="0" w:after="240"/>
        <w:jc w:val="both"/>
      </w:p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_________________, do hereby knowingly and voluntarily enter into this agreement as of the dates set forth below.</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Executed this _____ day of _____________, 20____.</w:t>
      </w:r>
    </w:p>
    <w:p>
      <w:pPr>
        <w:pStyle w:val="TextBody"/>
        <w:bidi w:val="0"/>
        <w:spacing w:before="0" w:after="240"/>
        <w:jc w:val="both"/>
      </w:pPr>
      <w:r/>
    </w:p>
    <w:p>
      <w:pPr>
        <w:pStyle w:val="TextBody"/>
        <w:bidi w:val="0"/>
        <w:spacing w:before="0" w:after="240"/>
        <w:jc w:val="both"/>
      </w:p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Agreed: ____________________________    </w:t>
        <w:br/>
        <w:t>    Signature        </w:t>
      </w:r>
    </w:p>
    <w:p>
      <w:pPr>
        <w:pStyle w:val="TextBody"/>
        <w:bidi w:val="0"/>
        <w:spacing w:before="0" w:after="0"/>
        <w:jc w:val="both"/>
      </w:pPr>
      <w:r/>
    </w:p>
    <w:p>
      <w:pPr>
        <w:pStyle w:val="TextBody"/>
        <w:bidi w:val="0"/>
        <w:spacing w:before="0" w:after="0"/>
        <w:jc w:val="both"/>
      </w:pPr>
      <w:r/>
    </w:p>
    <w:p>
      <w:pPr>
        <w:pStyle w:val="TextBody"/>
        <w:bidi w:val="0"/>
        <w:jc w:val="center"/>
      </w:pPr>
      <w:r/>
    </w:p>
    <w:p>
      <w:pPr>
        <w:pStyle w:val="TextBody"/>
        <w:bidi w:val="0"/>
        <w:spacing w:before="0" w:after="0"/>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6"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pPr>
      <w:r>
        <w:rPr>
          <w:rFonts w:ascii="Times New Roman;serif" w:hAnsi="Times New Roman;serif"/>
          <w:b/>
          <w:color w:val="000000"/>
          <w:sz w:val="22"/>
        </w:rPr>
        <w:t>SCHEDULE 1</w:t>
      </w:r>
      <w:r>
        <w:rPr>
          <w:color w:val="000000"/>
        </w:rPr>
        <w:t> </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entering into this Separation Agreement And General Release (“Agreement”), the individual identified in the signature block of the Agreement (“Employee”) acknowledges and agrees that the release set forth in the Agreement extends to include, but is not limited to, the laws of any state in which Employee performed work for Unisys, or that otherwise might apply to Employee’s employment with Unisys, or the termination thereof (each to the extent applicable, and as amended from time to time):</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07"/>
        <w:gridCol w:w="357"/>
        <w:gridCol w:w="362"/>
        <w:gridCol w:w="2761"/>
        <w:gridCol w:w="2613"/>
        <w:gridCol w:w="3705"/>
      </w:tblGrid>
      <w:t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Alabama</w:t>
            </w:r>
          </w:p>
        </w:tc>
        <w:tc>
          <w:tcPr>
            <w:tcW w:w="90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Alabama Age Discrimination in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Alabama Unlawful Practices related to Opposition of Employer under Section 25-1-28 of the Alabama Code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Alabama Whistleblower Protection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Alabama Pay Equity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Retaliatory or Constructive Discharge and for co-employer liability under Sections 25-5-11 and 25-5-11.1 of the Alabama Code. </w:t>
            </w:r>
          </w:p>
        </w:tc>
      </w:tr>
      <w:tr>
        <w:tc>
          <w:tcPr>
            <w:tcW w:w="11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Alaska</w:t>
            </w:r>
          </w:p>
        </w:tc>
        <w:tc>
          <w:tcPr>
            <w:tcW w:w="90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Alaska Human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Alaska Family and Medical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Alaska Occupational Safety and Health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Alaska Uniform Contribution Among Tortfeasors Act </w:t>
            </w:r>
          </w:p>
        </w:tc>
      </w:tr>
      <w:tr>
        <w:tc>
          <w:tcPr>
            <w:tcW w:w="11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Arizona</w:t>
            </w:r>
          </w:p>
        </w:tc>
        <w:tc>
          <w:tcPr>
            <w:tcW w:w="90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Arizona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Arizona Employment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Arizona Occupational Safety and Health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Arizona Right to Work Act </w:t>
            </w:r>
          </w:p>
        </w:tc>
      </w:tr>
      <w:tr>
        <w:tc>
          <w:tcPr>
            <w:tcW w:w="11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Arkansas</w:t>
            </w:r>
          </w:p>
        </w:tc>
        <w:tc>
          <w:tcPr>
            <w:tcW w:w="90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Arkansas Civil Rights Act of 1993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Arkansas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Arkansas Minimum Wage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Arkansas Wage Payment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Arkansas Uniform Contribution Among Tortfeasors Act </w:t>
            </w:r>
          </w:p>
        </w:tc>
      </w:tr>
      <w:tr>
        <w:tc>
          <w:tcPr>
            <w:tcW w:w="11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California</w:t>
            </w:r>
          </w:p>
        </w:tc>
        <w:tc>
          <w:tcPr>
            <w:tcW w:w="90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Family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Fair Employment and Housing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Civil Code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Labor Code (except as prohibited by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Unruh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Fair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Pregnancy Disability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California WARN Act </w:t>
            </w:r>
          </w:p>
        </w:tc>
      </w:tr>
      <w:tr>
        <w:tc>
          <w:tcPr>
            <w:tcW w:w="11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Colorado</w:t>
            </w:r>
          </w:p>
        </w:tc>
        <w:tc>
          <w:tcPr>
            <w:tcW w:w="907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Anti-Discrimination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Law Prohibiting Discrimination by Labor Organization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Whistleblower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Maternity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Healthy Families and Workplaces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Minimum Wage Order No. 32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Colorado Labor Peace Act </w:t>
            </w:r>
          </w:p>
        </w:tc>
      </w:tr>
    </w:tbl>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7"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0"/>
        <w:gridCol w:w="509"/>
        <w:gridCol w:w="510"/>
        <w:gridCol w:w="2622"/>
        <w:gridCol w:w="2472"/>
        <w:gridCol w:w="3512"/>
      </w:tblGrid>
      <w:t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c>
          <w:tcPr>
            <w:tcW w:w="15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Connecticut</w:t>
            </w:r>
          </w:p>
        </w:tc>
        <w:tc>
          <w:tcPr>
            <w:tcW w:w="860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Human Rights and Opportunities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Family and Medical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General Statute Paid Sick Leave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Whistleblower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Free Speech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WARN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Human Rights and Opportunities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Minimum Wage and Overtime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Connecticut Maximum Hours and Overtime Law (provided, however, that nothing in this Agreement shall be construed as a release of disputed wages as a condition to receive wages conceded to be due). </w:t>
            </w:r>
          </w:p>
        </w:tc>
      </w:tr>
      <w:tr>
        <w:tc>
          <w:tcPr>
            <w:tcW w:w="15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Delaware</w:t>
            </w:r>
          </w:p>
        </w:tc>
        <w:tc>
          <w:tcPr>
            <w:tcW w:w="860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Delaware Discrimination in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Delaware Handicapped Persons Employment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Delaware Persons with Disabilities Employment Protections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Delaware Whistleblower’s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Delaware Wage Payment and Collection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Delaware Fair Employment Practices Act (provided, however, that nothing in this agreement shall be construed as a requirement for or condition to any payment due under the Wage Payment and Collection Act). </w:t>
            </w:r>
          </w:p>
        </w:tc>
      </w:tr>
      <w:tr>
        <w:tc>
          <w:tcPr>
            <w:tcW w:w="15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District of Columbia</w:t>
            </w:r>
          </w:p>
        </w:tc>
        <w:tc>
          <w:tcPr>
            <w:tcW w:w="860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Prohibition of Discrimination on the Basis of Tobacco Use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Whistleblower Protection Act for Employees of D.C. Contractors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Family and Medical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Parental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Employee Sick Leave Provision of Paid Leave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Displaced Workers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Wage Payment and Collection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D.C. Minimum Wage Act </w:t>
            </w:r>
          </w:p>
        </w:tc>
      </w:tr>
      <w:tr>
        <w:tc>
          <w:tcPr>
            <w:tcW w:w="159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Florida</w:t>
            </w:r>
          </w:p>
        </w:tc>
        <w:tc>
          <w:tcPr>
            <w:tcW w:w="860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Omnibus AIDS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Wage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Educational Equity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Discrimination Against Military Personnel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Workers Compensation Act Retaliation Provision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Fair Housing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False Claims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Whistleblower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Whistle-blower’s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Florida Minimum Wage Act </w:t>
            </w:r>
          </w:p>
        </w:tc>
      </w:tr>
    </w:tbl>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pPr>
                      <w:r/>
                    </w:p>
                  </w:txbxContent>
                </v:textbox>
                <w10:wrap type="none"/>
              </v:rect>
            </w:pict>
          </mc:Fallback>
        </mc:AlternateContent>
      </w:r>
    </w:p>
    <w:tbl>
      <w:tblPr>
        <w:tblW w:w="6976" w:type="dxa"/>
        <w:jc w:val="left"/>
        <w:tblInd w:w="0" w:type="dxa"/>
        <w:tblLayout w:type="fixed"/>
        <w:tblCellMar>
          <w:top w:w="28" w:type="dxa"/>
          <w:left w:w="28" w:type="dxa"/>
          <w:bottom w:w="28" w:type="dxa"/>
          <w:right w:w="28" w:type="dxa"/>
        </w:tblCellMar>
      </w:tblPr>
      <w:tblGrid>
        <w:gridCol w:w="337"/>
        <w:gridCol w:w="296"/>
        <w:gridCol w:w="298"/>
        <w:gridCol w:w="1769"/>
        <w:gridCol w:w="1769"/>
        <w:gridCol w:w="2507"/>
      </w:tblGrid>
      <w:t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r>
      <w:tr>
        <w:tc>
          <w:tcPr>
            <w:tcW w:w="93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Georgia</w:t>
            </w:r>
          </w:p>
        </w:tc>
        <w:tc>
          <w:tcPr>
            <w:tcW w:w="60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Georgia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Georgia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Georgia Age Discrimination in Employment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Georgia Equal Employment for Persons with Disabilities Code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Georgia Right to Arbitration for Sex Discrimination Claims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Claims Arising under the Georgia Constitution. </w:t>
            </w:r>
          </w:p>
        </w:tc>
      </w:tr>
      <w:tr>
        <w:tc>
          <w:tcPr>
            <w:tcW w:w="93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Hawaii</w:t>
            </w:r>
          </w:p>
        </w:tc>
        <w:tc>
          <w:tcPr>
            <w:tcW w:w="60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Discriminatory Practices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Whistleblowers’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Dislocated Workers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Family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Hawaii Occupational Safety and Health Law </w:t>
            </w:r>
          </w:p>
        </w:tc>
      </w:tr>
      <w:tr>
        <w:tc>
          <w:tcPr>
            <w:tcW w:w="93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Idaho</w:t>
            </w:r>
          </w:p>
        </w:tc>
        <w:tc>
          <w:tcPr>
            <w:tcW w:w="604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Idaho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Idaho Civil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Idaho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Idaho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Idaho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Idaho Wage Payment Law </w:t>
            </w:r>
          </w:p>
        </w:tc>
      </w:tr>
      <w:tr>
        <w:tc>
          <w:tcPr>
            <w:tcW w:w="93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Illinois</w:t>
            </w:r>
          </w:p>
        </w:tc>
        <w:tc>
          <w:tcPr>
            <w:tcW w:w="604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Equal Pay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Whistleblower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 Wages for Women and Minors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Religious Freedom Restoration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Family Military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WARN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Right to Privacy in the Workplace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Union Employee Health and Benefits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Employment Contract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Dispute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Illinois Victims’ Economic Security and Safety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IL Nursing Mothers in the Workplace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Cook County Human Rights Ordinance (if applicable)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Chicago Human Rights Ordinance (if applicable) </w:t>
            </w:r>
          </w:p>
        </w:tc>
      </w:tr>
    </w:tbl>
    <w:p>
      <w:pPr>
        <w:pStyle w:val="TextBody"/>
        <w:bidi w:val="0"/>
        <w:spacing w:before="0" w:after="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9"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0"/>
        <w:gridCol w:w="343"/>
        <w:gridCol w:w="348"/>
        <w:gridCol w:w="2670"/>
        <w:gridCol w:w="2670"/>
        <w:gridCol w:w="3784"/>
      </w:tblGrid>
      <w:t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Indiana</w:t>
            </w:r>
          </w:p>
        </w:tc>
        <w:tc>
          <w:tcPr>
            <w:tcW w:w="9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Civil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Age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Employment Discrimination Against Disabled Persons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Military Leave and Re-Employment Rights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Off Duty Use of Tobacco by Employees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Whistleblower Protections for Employees of Private Employer that is Under Public Contract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Military Family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Wage Payment and Wage Claims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Occupational Safety and Health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Indiana Blacklisting Statute </w:t>
            </w:r>
          </w:p>
        </w:tc>
      </w:tr>
      <w:tr>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Iowa</w:t>
            </w:r>
          </w:p>
        </w:tc>
        <w:tc>
          <w:tcPr>
            <w:tcW w:w="9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Iowa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Iowa Law Related to Military Leave/Re-Employment Rights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Iowa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Iowa Wage Payment Collection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Iowa WARN Act </w:t>
            </w:r>
          </w:p>
        </w:tc>
      </w:tr>
      <w:tr>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Kansas</w:t>
            </w:r>
          </w:p>
        </w:tc>
        <w:tc>
          <w:tcPr>
            <w:tcW w:w="9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Act Against Discrimination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Age Discrimination in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Discrimination Against Military Personnel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Discrimination Against Victims of Domestic Violence or Sexual Assault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Whistleblower Protection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Minimum Wage and Maximum Hours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Kansas WARN Act </w:t>
            </w:r>
          </w:p>
        </w:tc>
      </w:tr>
      <w:tr>
        <w:tc>
          <w:tcPr>
            <w:tcW w:w="108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Kentucky</w:t>
            </w:r>
          </w:p>
        </w:tc>
        <w:tc>
          <w:tcPr>
            <w:tcW w:w="9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Equal Opportunities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Wage Discrimination Because of Sex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Law Regarding Military Leave and Re-Employment Rights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Leave of Absence to Adopt a Child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Occupational Safety and Health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Kentucky Workers’ Compensation Act Retaliation Provision </w:t>
            </w:r>
          </w:p>
        </w:tc>
      </w:tr>
      <w:tr>
        <w:tc>
          <w:tcPr>
            <w:tcW w:w="108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Louisiana</w:t>
            </w:r>
          </w:p>
        </w:tc>
        <w:tc>
          <w:tcPr>
            <w:tcW w:w="912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Louisiana Employment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Louisiana Whistleblower Protection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Louisiana Family and Medical Leave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Louisiana Payment of Employees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Louisiana Workers’ Compensation Act Retaliation Provision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Louisiana General Tort Provision </w:t>
            </w:r>
          </w:p>
        </w:tc>
      </w:tr>
    </w:tbl>
    <w:p>
      <w:pPr>
        <w:pStyle w:val="TextBody"/>
        <w:bidi w:val="0"/>
        <w:spacing w:before="0" w:after="0"/>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60"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3"/>
        <w:gridCol w:w="486"/>
        <w:gridCol w:w="492"/>
        <w:gridCol w:w="2751"/>
        <w:gridCol w:w="2452"/>
        <w:gridCol w:w="3471"/>
      </w:tblGrid>
      <w:t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Maine</w:t>
            </w:r>
          </w:p>
        </w:tc>
        <w:tc>
          <w:tcPr>
            <w:tcW w:w="867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Protection from Harassment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Sexual Harassment Policies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Whistleblowers’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Family Medical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Family Sick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Labor and Industry Earned Paid Leave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Maine WARN Laws </w:t>
            </w:r>
          </w:p>
        </w:tc>
      </w:tr>
      <w:tr>
        <w:tc>
          <w:tcPr>
            <w:tcW w:w="153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Maryland</w:t>
            </w:r>
          </w:p>
        </w:tc>
        <w:tc>
          <w:tcPr>
            <w:tcW w:w="867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Anti-Discrimination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Reasonable Accommodations for Disabilities Due to Pregnancy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Deployment of Family Members in the Armed Forces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Equal Pay for Equal Work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Medical Information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Maternity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Healthy Working Families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Wage Payment and Collection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Wage and Hour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WARN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Maryland Occupational Safety and Health Act </w:t>
            </w:r>
          </w:p>
        </w:tc>
      </w:tr>
      <w:tr>
        <w:tc>
          <w:tcPr>
            <w:tcW w:w="153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Massachusetts</w:t>
            </w:r>
          </w:p>
        </w:tc>
        <w:tc>
          <w:tcPr>
            <w:tcW w:w="867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Law Prohibiting Unlawful Discrimination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Equal Pay Law, except for claims that cannot be waived related to inquiry or discussion of wages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Right to be Free from Sexual Harassment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Age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Equal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Equal Rights for the Elderly and Disabled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Civil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False Claims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Family and Medical Leave Laws and Small Necessities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Earned Sick Time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Massachusetts Labor and Industry Privacy Law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entering into this Agreement, you acknowledge that your release and waiver includes any future claims against the Company under Mass. Gen. Laws ch. 149, § 148 - the Massachusetts Wage Act.  These claims include, but are not limited to, failure to pay earned wages, failure to pay overtime, failure to pay earned commissions, failure to timely pay wages, failure to pay accrued vacation or holiday pay, failure to furnish appropriate pay stubs, claims for improper wage deductions, and claims for failing to provide proper check-cashing facilities. </w:t>
            </w:r>
          </w:p>
        </w:tc>
      </w:tr>
    </w:tbl>
    <w:p>
      <w:pPr>
        <w:pStyle w:val="TextBody"/>
        <w:bidi w:val="0"/>
        <w:spacing w:before="0" w:after="0"/>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61"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23"/>
        <w:gridCol w:w="372"/>
        <w:gridCol w:w="376"/>
        <w:gridCol w:w="2644"/>
        <w:gridCol w:w="2644"/>
        <w:gridCol w:w="3746"/>
      </w:tblGrid>
      <w:t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Michigan</w:t>
            </w:r>
          </w:p>
        </w:tc>
        <w:tc>
          <w:tcPr>
            <w:tcW w:w="903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Elliott-Larsen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Persons with Disabilities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Whistleblowers’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Paid Medical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Payment of Wages and Fringe Benefits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Sales Representatives Commission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WARN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Bullard-Plawecki Employee Right to Know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Social Security Number Privacy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Internet Privacy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Michigan Occupational Safety and Health Act </w:t>
            </w:r>
          </w:p>
        </w:tc>
      </w:tr>
      <w:tr>
        <w:tc>
          <w:tcPr>
            <w:tcW w:w="11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Minnesota</w:t>
            </w:r>
          </w:p>
        </w:tc>
        <w:tc>
          <w:tcPr>
            <w:tcW w:w="903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Equal Pay for Equal Work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Age Discrimination Statute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Nonwork Activities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Whistleblower Protection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Parenting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WARN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Personnel Record Access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Minnesota Whistleblowers’ Protection Retaliation Provision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any conflicting terms of the Agreement (if applicable), if you were employed by the Company in Minnesota, then with respect to claims under the Minnesota Human Rights Act, you are provided fifteen calendar days after signing this Agreement to revoke it.  To be effective, this revocation must be in writing and either (a) hand-delivered to the Company within fifteen calendar days of signing; or (b) sent by certified mail, return receipt requested, to the Company with a postmark within fifteen calendar days of signing.  If this Agreement is revoked, you will not be entitled to the Severance Package described by the Agreement. </w:t>
            </w:r>
          </w:p>
        </w:tc>
      </w:tr>
      <w:tr>
        <w:tc>
          <w:tcPr>
            <w:tcW w:w="11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Mississippi</w:t>
            </w:r>
          </w:p>
        </w:tc>
        <w:tc>
          <w:tcPr>
            <w:tcW w:w="903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Mississippi Employment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Mississippi Military Leave/Re-Employment Rights Statute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Mississippi Wage Law </w:t>
            </w:r>
          </w:p>
        </w:tc>
      </w:tr>
      <w:tr>
        <w:tc>
          <w:tcPr>
            <w:tcW w:w="117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Missouri</w:t>
            </w:r>
          </w:p>
        </w:tc>
        <w:tc>
          <w:tcPr>
            <w:tcW w:w="903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Missouri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Missouri Equal Pay for Women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Missouri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Missouri Wage Payment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Missouri Service Letter Statute </w:t>
            </w:r>
          </w:p>
        </w:tc>
      </w:tr>
    </w:tbl>
    <w:p>
      <w:pPr>
        <w:pStyle w:val="TextBody"/>
        <w:bidi w:val="0"/>
        <w:spacing w:before="0" w:after="0"/>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62"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1"/>
        <w:gridCol w:w="459"/>
        <w:gridCol w:w="466"/>
        <w:gridCol w:w="2624"/>
        <w:gridCol w:w="2534"/>
        <w:gridCol w:w="3601"/>
      </w:tblGrid>
      <w:t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c>
          <w:tcPr>
            <w:tcW w:w="14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Montana</w:t>
            </w:r>
          </w:p>
        </w:tc>
        <w:tc>
          <w:tcPr>
            <w:tcW w:w="87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Wrongful Discharge from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Maternity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Wage Payment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Minimum Wage and Overtime Compensation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Limitation on Hours for Certain Employees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Montana Blacklisting Statutes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 agree that your termination was for good cause as defined by Montana Law. </w:t>
            </w:r>
          </w:p>
        </w:tc>
      </w:tr>
      <w:tr>
        <w:tc>
          <w:tcPr>
            <w:tcW w:w="14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Nebraska</w:t>
            </w:r>
          </w:p>
        </w:tc>
        <w:tc>
          <w:tcPr>
            <w:tcW w:w="87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Discrimination in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Laws Against Discrimination of Military Personnel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AIDS Discrimination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Genetic Information and Testing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Family Military Leave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Nebraska Wage and Hour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Waivable Claims under the Nebraska Wage Payment and Collection Act </w:t>
            </w:r>
          </w:p>
        </w:tc>
      </w:tr>
      <w:tr>
        <w:tc>
          <w:tcPr>
            <w:tcW w:w="14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Nevada</w:t>
            </w:r>
          </w:p>
        </w:tc>
        <w:tc>
          <w:tcPr>
            <w:tcW w:w="87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Nevada Fair Employment Practices Act (including age and sexual harassment claims, claims related to false pretenses, blacklisting, grafting, kickbacks, or lie detectors)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Nevada Paid Leave </w:t>
            </w:r>
          </w:p>
        </w:tc>
      </w:tr>
      <w:tr>
        <w:tc>
          <w:tcPr>
            <w:tcW w:w="14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New Hampshire</w:t>
            </w:r>
          </w:p>
        </w:tc>
        <w:tc>
          <w:tcPr>
            <w:tcW w:w="87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Law Against Discrimination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Whistleblowers’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Protective Legislation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Unemployment Compensation Prohibition Against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Uniform Trade Secrets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Safety and Health of Employees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Hampshire Protective Legislation Law Non-Compete and Non-Piracy Sections </w:t>
            </w:r>
          </w:p>
        </w:tc>
      </w:tr>
      <w:tr>
        <w:tc>
          <w:tcPr>
            <w:tcW w:w="14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New Jersey</w:t>
            </w:r>
          </w:p>
        </w:tc>
        <w:tc>
          <w:tcPr>
            <w:tcW w:w="87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Law Against Discrimination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Civil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Security and Financial Empowerment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Conscientious Employee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Family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Earned Sick Leave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Wage and Hour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WARN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Jersey Workers’ Compensation Law Retaliation Provisions </w:t>
            </w:r>
          </w:p>
        </w:tc>
      </w:tr>
      <w:tr>
        <w:tc>
          <w:tcPr>
            <w:tcW w:w="14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New Mexico</w:t>
            </w:r>
          </w:p>
        </w:tc>
        <w:tc>
          <w:tcPr>
            <w:tcW w:w="875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Mexico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Mexico Re-Employment of Persons in Armed Forces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Mexico Fraud Against Taxpayers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Mexico Promoting Financial Independence for Victims of Domestic Abuse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Mexico Employee Privacy Act </w:t>
            </w:r>
          </w:p>
        </w:tc>
      </w:tr>
    </w:tbl>
    <w:p>
      <w:pPr>
        <w:pStyle w:val="TextBody"/>
        <w:bidi w:val="0"/>
        <w:spacing w:before="0" w:after="0"/>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63"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3"/>
        <w:gridCol w:w="392"/>
        <w:gridCol w:w="289"/>
        <w:gridCol w:w="2890"/>
        <w:gridCol w:w="2510"/>
        <w:gridCol w:w="3561"/>
      </w:tblGrid>
      <w:tr>
        <w:tc>
          <w:tcPr>
            <w:tcW w:w="56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c>
          <w:tcPr>
            <w:tcW w:w="12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New York</w:t>
            </w:r>
          </w:p>
        </w:tc>
        <w:tc>
          <w:tcPr>
            <w:tcW w:w="896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State Human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Off Duty Conduct Law Activities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City Humans Rights Law (if applicable)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City Commission on Human Rights Law (if applicable) </w:t>
              <w:br/>
              <w:t>New York City Earned Sick Time Act (if applicable)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Wage Hour and Wage Payment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WARN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State Civil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Family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Sick Leave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State Worker Adjustment and Retraining Notification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Workers’ Compensation Law Retaliation Provisions </w:t>
            </w:r>
          </w:p>
        </w:tc>
      </w:tr>
      <w:tr>
        <w:tc>
          <w:tcPr>
            <w:tcW w:w="12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North Carolina</w:t>
            </w:r>
          </w:p>
        </w:tc>
        <w:tc>
          <w:tcPr>
            <w:tcW w:w="896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Equal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Persons with Disabilities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Civil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Lawful Products Use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Hemoglobin/Genetic Information Anti-Discrimination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Retaliatory Employment Discrimination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Carolina Leave for Parent Involvement in Schools Law </w:t>
            </w:r>
          </w:p>
        </w:tc>
      </w:tr>
      <w:tr>
        <w:tc>
          <w:tcPr>
            <w:tcW w:w="12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North Dakota</w:t>
            </w:r>
          </w:p>
        </w:tc>
        <w:tc>
          <w:tcPr>
            <w:tcW w:w="896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Dakota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Dakota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Dakota Age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Dakota Whistleblower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Dakota Wage and Hour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North Dakota Wage Collection Law </w:t>
            </w:r>
          </w:p>
        </w:tc>
      </w:tr>
      <w:tr>
        <w:tc>
          <w:tcPr>
            <w:tcW w:w="124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Ohio</w:t>
            </w:r>
          </w:p>
        </w:tc>
        <w:tc>
          <w:tcPr>
            <w:tcW w:w="896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Whistleblowers’ Protection Statute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Pregnancy Discrimination/Maternity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Wage Payment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Minimum Fair Wage Standards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Miscellaneous Labor Provisions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Workers’ Compensation Retaliation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Ohio Constitution </w:t>
            </w:r>
          </w:p>
        </w:tc>
      </w:tr>
      <w:tr>
        <w:tc>
          <w:tcPr>
            <w:tcW w:w="124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Oklahoma</w:t>
            </w:r>
          </w:p>
        </w:tc>
        <w:tc>
          <w:tcPr>
            <w:tcW w:w="8961"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Oklahoma Anti-Discrimination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Oklahoma Discriminatory Wages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Oklahoma Genetic Nondiscrimination in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Oklahoma General Anti-Retaliation Law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 acknowledge that this waiver is not a restraint as contemplated by Okla. Stat. Ann. tit. 40, § 199(B)(2), Oklahoma Law Governing Wages and Working Conditions, Oklahoma Minimum Wage Act, the Retaliation and Discrimination provision of the Oklahoma Administrative Workers’ Compensation Act, and the Standards for Workplace Drug and Alcohol Testing Act. </w:t>
            </w:r>
          </w:p>
        </w:tc>
      </w:tr>
    </w:tbl>
    <w:p>
      <w:pPr>
        <w:pStyle w:val="TextBody"/>
        <w:bidi w:val="0"/>
        <w:spacing w:before="0" w:after="0"/>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64"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5"/>
        <w:gridCol w:w="487"/>
        <w:gridCol w:w="493"/>
        <w:gridCol w:w="2538"/>
        <w:gridCol w:w="2538"/>
        <w:gridCol w:w="3594"/>
      </w:tblGrid>
      <w:t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c>
          <w:tcPr>
            <w:tcW w:w="15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Oregon</w:t>
            </w:r>
          </w:p>
        </w:tc>
        <w:tc>
          <w:tcPr>
            <w:tcW w:w="867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Anti-Discrimination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Unlawful Discrimination Against Persons with Disabilities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Genetic Screening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Unlawful Discrimination Against Injured Workers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Unlawful Discrimination for Service in Uniformed Service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Leave of Absence for State Service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Military Family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Sick Leave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Whistleblower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Initiating or Aiding Administrative, Criminal, or Civil Proceeding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Family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Hours of Labor and Wage Payment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Oregon WARN Act </w:t>
            </w:r>
          </w:p>
        </w:tc>
      </w:tr>
      <w:tr>
        <w:tc>
          <w:tcPr>
            <w:tcW w:w="15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Pennsylvania</w:t>
            </w:r>
          </w:p>
        </w:tc>
        <w:tc>
          <w:tcPr>
            <w:tcW w:w="867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Pennsylvania Human Relations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Pennsylvania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Pennsylvania Whistleblower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Pennsylvania Pregnancy Guidelines of the Human Relations Comm. </w:t>
            </w:r>
          </w:p>
        </w:tc>
      </w:tr>
      <w:tr>
        <w:tc>
          <w:tcPr>
            <w:tcW w:w="15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Rhode Island</w:t>
            </w:r>
          </w:p>
        </w:tc>
        <w:tc>
          <w:tcPr>
            <w:tcW w:w="867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Civil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Civil Rights of People with Disabilities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Discrimination Based on Genetic Testing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AIDS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Employment Discrimination Provision of Rhode Island Victim’s Bill of Rights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Military Family Relief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Whistleblowers’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Parental and Family Medical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Healthy and Safe Families and Workplaces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Minimum Wage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Rhode Island Wage Payment Law </w:t>
            </w:r>
          </w:p>
        </w:tc>
      </w:tr>
      <w:tr>
        <w:tc>
          <w:tcPr>
            <w:tcW w:w="153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South Carolina</w:t>
            </w:r>
          </w:p>
        </w:tc>
        <w:tc>
          <w:tcPr>
            <w:tcW w:w="867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Human Affairs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Bill of Rights for Handicapped Persons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Military Re-Employment Rights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‘s Unlawful Discrimination Against Union Members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Whistleblower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Workers’ Compensation Retaliation Provision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 Consumer Protection Code Wrongful Termination Provision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Carolina’s Unlawful Termination of an Employee Replaced by an Authorized Alien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Carolina’s Wrongful Demotion or Termination of an Employee for Complying with a Subpoena or Serving on a Jury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Carolina’s Personnel Action Based on Use of Tobacco Products Outside of Workplace Prohibited Law </w:t>
            </w:r>
          </w:p>
        </w:tc>
      </w:tr>
    </w:tbl>
    <w:p>
      <w:pPr>
        <w:pStyle w:val="TextBody"/>
        <w:bidi w:val="0"/>
        <w:spacing w:before="0" w:after="0"/>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65"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pPr>
                      <w:r/>
                    </w:p>
                  </w:txbxContent>
                </v:textbox>
                <w10:wrap type="none"/>
              </v:rect>
            </w:pict>
          </mc:Fallback>
        </mc:AlternateContent>
      </w:r>
    </w:p>
    <w:tbl>
      <w:tblPr>
        <w:tblW w:w="9013" w:type="dxa"/>
        <w:jc w:val="left"/>
        <w:tblInd w:w="0" w:type="dxa"/>
        <w:tblLayout w:type="fixed"/>
        <w:tblCellMar>
          <w:top w:w="28" w:type="dxa"/>
          <w:left w:w="28" w:type="dxa"/>
          <w:bottom w:w="28" w:type="dxa"/>
          <w:right w:w="28" w:type="dxa"/>
        </w:tblCellMar>
      </w:tblPr>
      <w:tblGrid>
        <w:gridCol w:w="526"/>
        <w:gridCol w:w="463"/>
        <w:gridCol w:w="465"/>
        <w:gridCol w:w="2212"/>
        <w:gridCol w:w="2212"/>
        <w:gridCol w:w="3135"/>
      </w:tblGrid>
      <w:t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South Dakota</w:t>
            </w:r>
          </w:p>
        </w:tc>
        <w:tc>
          <w:tcPr>
            <w:tcW w:w="75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Dakota Human Relations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Dakota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Dakota Genetic Information Bias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Dakota Wage Retaliation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South Dakota Minimum Wage Law </w:t>
            </w:r>
          </w:p>
        </w:tc>
      </w:tr>
      <w:tr>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Tennessee</w:t>
            </w:r>
          </w:p>
        </w:tc>
        <w:tc>
          <w:tcPr>
            <w:tcW w:w="75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Tennessee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Tennessee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Tennessee Leave for Adoption, Pregnancy, Childbirth and Infant Nursing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Tennessee Wage Protection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Tennessee WARN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Tennessee Occupational Safety and Health Act </w:t>
            </w:r>
          </w:p>
        </w:tc>
      </w:tr>
      <w:tr>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Texas</w:t>
            </w:r>
          </w:p>
        </w:tc>
        <w:tc>
          <w:tcPr>
            <w:tcW w:w="75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Commission on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Employment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Disability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State Wage Payment and Work Hour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Payday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Texas Minimum Wage Act </w:t>
            </w:r>
          </w:p>
        </w:tc>
      </w:tr>
      <w:tr>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Utah</w:t>
            </w:r>
          </w:p>
        </w:tc>
        <w:tc>
          <w:tcPr>
            <w:tcW w:w="75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Antidiscrimination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Genetic Testing Privacy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Occupational Safety and Health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Employment Relations and Collective Bargaining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Right to Work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Drug and Alcohol Testing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Protection of Activities in Private Vehicles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 Employment Selection Procedures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Utah’s Local Government Entity/Drug-Free Workplace Policies Act </w:t>
            </w:r>
          </w:p>
        </w:tc>
      </w:tr>
      <w:tr>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Vermont</w:t>
            </w:r>
          </w:p>
        </w:tc>
        <w:tc>
          <w:tcPr>
            <w:tcW w:w="755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Genetic Testing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Whistleblower Laws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Parental and Family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Earned Sick Time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Occupational Safety and Health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Vermont Wage Law </w:t>
            </w:r>
          </w:p>
        </w:tc>
      </w:tr>
      <w:tr>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Virginia</w:t>
            </w:r>
          </w:p>
        </w:tc>
        <w:tc>
          <w:tcPr>
            <w:tcW w:w="755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Virginians with Disabilities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Genetic Testing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Right-to-Work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Occupational Safety and Health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Fraud Against Taxpayers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Virginia Right to Work Law </w:t>
            </w:r>
          </w:p>
        </w:tc>
      </w:tr>
    </w:tbl>
    <w:p>
      <w:pPr>
        <w:pStyle w:val="TextBody"/>
        <w:bidi w:val="0"/>
        <w:spacing w:before="0" w:after="0"/>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66" name="Frame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4"/>
        <w:gridCol w:w="425"/>
        <w:gridCol w:w="426"/>
        <w:gridCol w:w="2654"/>
        <w:gridCol w:w="2573"/>
        <w:gridCol w:w="3643"/>
      </w:tblGrid>
      <w:t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c>
          <w:tcPr>
            <w:tcW w:w="13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w:t>
            </w:r>
          </w:p>
        </w:tc>
        <w:tc>
          <w:tcPr>
            <w:tcW w:w="887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Law Against Discrimination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Age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Sex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Family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Family Care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Genetic Testing Protection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Whistleblower Protection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Wage, Hour, and Working Conditions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Wage Payment Law </w:t>
            </w:r>
          </w:p>
        </w:tc>
      </w:tr>
      <w:tr>
        <w:tc>
          <w:tcPr>
            <w:tcW w:w="13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West Virginia</w:t>
            </w:r>
          </w:p>
        </w:tc>
        <w:tc>
          <w:tcPr>
            <w:tcW w:w="887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 Human Rights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 Equal Pay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Virginia’s Prohibition Against Discrimination for Jury Duty Summons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 Parental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 Workers’ Compensation Act Retaliation Provisions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Virginia Consumer Credit and Protection Act Retaliation Provision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any conflicting terms of the Agreement (if applicable), if you were employed by the Company in West Virginia, then you are provided a minimum of 21 days in which to consider this Agreement, and are provided a 7 day revocation period under Section 77-6-1.1 – 77-6-8.1 of West Virginia’s Human Rights Commission Bias Rules. </w:t>
            </w:r>
          </w:p>
        </w:tc>
      </w:tr>
      <w:tr>
        <w:tc>
          <w:tcPr>
            <w:tcW w:w="13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Wisconsin</w:t>
            </w:r>
          </w:p>
        </w:tc>
        <w:tc>
          <w:tcPr>
            <w:tcW w:w="887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Fair Employment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AIDS Testing Discrimination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Personnel Records Statute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Family and Medical Leave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Wage Payments, Claims and Collections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WARN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Cessation of Health Care Benefits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Wisconsin Employment Peace Act </w:t>
            </w:r>
          </w:p>
        </w:tc>
      </w:tr>
      <w:tr>
        <w:tc>
          <w:tcPr>
            <w:tcW w:w="133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Wyoming</w:t>
            </w:r>
          </w:p>
        </w:tc>
        <w:tc>
          <w:tcPr>
            <w:tcW w:w="887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Wyoming Fair Employment Practices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Wyoming Equal Pay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Wyoming Whistleblower Act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Wyoming Minimum Wage Law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Wyoming Occupational Health and Safety Act </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both"/>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7665"/>
                <wp:effectExtent l="0" t="0" r="0" b="0"/>
                <wp:wrapNone/>
                <wp:docPr id="67" name="Frame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M. Thomson,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Unisys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88" w:before="0" w:after="0"/>
        <w:jc w:val="left"/>
        <w:rPr>
          <w:color w:val="000000"/>
        </w:rPr>
      </w:pPr>
      <w:r>
        <w:rPr>
          <w:color w:val="000000"/>
        </w:rPr>
        <w:t> </w:t>
      </w:r>
    </w:p>
    <w:tbl>
      <w:tblPr>
        <w:tblW w:w="4181"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939"/>
        <w:gridCol w:w="939"/>
        <w:gridCol w:w="133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Debra McCann,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Unisys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88" w:before="0" w:after="0"/>
        <w:jc w:val="left"/>
        <w:rPr>
          <w:color w:val="000000"/>
        </w:rPr>
      </w:pPr>
      <w:r>
        <w:rPr>
          <w:color w:val="000000"/>
        </w:rPr>
        <w:t> </w:t>
      </w:r>
    </w:p>
    <w:tbl>
      <w:tblPr>
        <w:tblW w:w="5410"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1296"/>
        <w:gridCol w:w="1296"/>
        <w:gridCol w:w="184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M. Thomson, Chief Executive Officer and President of Unisys Corporation (the “Company”), certify, pursuant to Section 906 of the Sarbanes-Oxley Act of 2002, 18 U.S.C. Section 1350,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September 30, 2026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88" w:before="0" w:after="0"/>
        <w:jc w:val="left"/>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152"/>
        <w:gridCol w:w="1012"/>
        <w:gridCol w:w="1015"/>
        <w:gridCol w:w="109"/>
        <w:gridCol w:w="109"/>
        <w:gridCol w:w="154"/>
      </w:tblGrid>
      <w:t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Debra McCann, Executive Vice President and Chief Financial Officer of Unisys Corporation (the “Company”), certify, pursuant to Section 906 of the Sarbanes-Oxley Act of 2002, 18 U.S.C. Section 1350,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September 30, 2026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596"/>
        <w:gridCol w:w="1404"/>
        <w:gridCol w:w="1410"/>
        <w:gridCol w:w="109"/>
        <w:gridCol w:w="109"/>
        <w:gridCol w:w="154"/>
      </w:tblGrid>
      <w:t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6838/000074683826000027/q22026-ex102.htm" TargetMode="External"/><Relationship Id="rId3" Type="http://schemas.openxmlformats.org/officeDocument/2006/relationships/hyperlink" Target="https://www.sec.gov/Archives/edgar/data/746838/000074683826000027/q22026-ex102.htm" TargetMode="External"/><Relationship Id="rId4" Type="http://schemas.openxmlformats.org/officeDocument/2006/relationships/hyperlink" Target="https://www.sec.gov/Archives/edgar/data/746838/000074683826000027/q22026-ex102.htm" TargetMode="External"/><Relationship Id="rId5" Type="http://schemas.openxmlformats.org/officeDocument/2006/relationships/hyperlink" Target="https://www.sec.gov/Archives/edgar/data/746838/000074683826000027/q22026-ex102.htm" TargetMode="External"/><Relationship Id="rId6" Type="http://schemas.openxmlformats.org/officeDocument/2006/relationships/hyperlink" Target="https://www.sec.gov/Archives/edgar/data/746838/000074683826000027/q22026-ex102.htm" TargetMode="Externa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31659</Words>
  <Characters>174121</Characters>
  <CharactersWithSpaces>204149</CharactersWithSpaces>
  <Paragraphs>3125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