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0" w:lineRule="exact"/>
        <w:rPr>
          <w:sz w:val="24"/>
          <w:szCs w:val="24"/>
          <w:color w:val="auto"/>
        </w:rPr>
      </w:pPr>
    </w:p>
    <w:p>
      <w:pPr>
        <w:sectPr>
          <w:pgSz w:w="11900" w:h="16935"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Gupta Shalabh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801 LAKEVIEW DRIVE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UNISYS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UIS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02/12/2021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14"/>
        <w:spacing w:after="0"/>
        <w:rPr>
          <w:sz w:val="20"/>
          <w:szCs w:val="20"/>
          <w:color w:val="auto"/>
        </w:rPr>
      </w:pPr>
      <w:r>
        <w:rPr>
          <w:rFonts w:ascii="Arial" w:cs="Arial" w:eastAsia="Arial" w:hAnsi="Arial"/>
          <w:sz w:val="17"/>
          <w:szCs w:val="17"/>
          <w:color w:val="0000FF"/>
        </w:rPr>
        <w:t>Vice President and Treasurer</w:t>
      </w:r>
    </w:p>
    <w:p>
      <w:pPr>
        <w:spacing w:after="0" w:line="391" w:lineRule="exact"/>
        <w:rPr>
          <w:sz w:val="24"/>
          <w:szCs w:val="24"/>
          <w:color w:val="auto"/>
        </w:rPr>
      </w:pPr>
    </w:p>
    <w:p>
      <w:pPr>
        <w:sectPr>
          <w:pgSz w:w="11900" w:h="16935" w:orient="portrait"/>
          <w:cols w:equalWidth="0" w:num="3">
            <w:col w:w="3180" w:space="720"/>
            <w:col w:w="3106" w:space="720"/>
            <w:col w:w="3354"/>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right"/>
              <w:ind w:right="151"/>
              <w:spacing w:after="0" w:line="144" w:lineRule="exact"/>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1"/>
          </w:tcPr>
          <w:p>
            <w:pPr>
              <w:ind w:left="30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BLUE BELL</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87"/>
              </w:rPr>
              <w:t>PA</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19422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jc w:val="center"/>
              <w:ind w:left="60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89"/>
              </w:rPr>
              <w:t>2,164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8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21,180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7"/>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91"/>
              </w:rPr>
              <w:t>625</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26.3</w:t>
            </w: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20,555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89"/>
              </w:rPr>
              <w:t>2,999</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8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23,554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7"/>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89"/>
              </w:rPr>
              <w:t>1,037</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26.3</w:t>
            </w: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22,517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89"/>
              </w:rPr>
              <w:t>1,852</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8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24,369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7"/>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91"/>
              </w:rPr>
              <w:t>542</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26.3</w:t>
            </w: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23,827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89"/>
              </w:rPr>
              <w:t>1,784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8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25,611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02/12/2021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7"/>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50"/>
              <w:spacing w:after="0"/>
              <w:rPr>
                <w:sz w:val="20"/>
                <w:szCs w:val="20"/>
                <w:color w:val="auto"/>
              </w:rPr>
            </w:pPr>
            <w:r>
              <w:rPr>
                <w:rFonts w:ascii="Arial" w:cs="Arial" w:eastAsia="Arial" w:hAnsi="Arial"/>
                <w:sz w:val="17"/>
                <w:szCs w:val="17"/>
                <w:color w:val="0000FF"/>
                <w:w w:val="91"/>
              </w:rPr>
              <w:t>543</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26.3</w:t>
            </w:r>
          </w:p>
        </w:tc>
        <w:tc>
          <w:tcPr>
            <w:tcW w:w="1300" w:type="dxa"/>
            <w:vAlign w:val="bottom"/>
            <w:gridSpan w:val="3"/>
          </w:tcPr>
          <w:p>
            <w:pPr>
              <w:jc w:val="right"/>
              <w:ind w:right="320"/>
              <w:spacing w:after="0"/>
              <w:rPr>
                <w:sz w:val="20"/>
                <w:szCs w:val="20"/>
                <w:color w:val="auto"/>
              </w:rPr>
            </w:pPr>
            <w:r>
              <w:rPr>
                <w:rFonts w:ascii="Arial" w:cs="Arial" w:eastAsia="Arial" w:hAnsi="Arial"/>
                <w:sz w:val="17"/>
                <w:szCs w:val="17"/>
                <w:color w:val="0000FF"/>
              </w:rPr>
              <w:t>25,068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30"/>
              <w:spacing w:after="0" w:line="130"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16"/>
                <w:szCs w:val="16"/>
                <w:color w:val="auto"/>
              </w:rPr>
            </w:pPr>
          </w:p>
        </w:tc>
        <w:tc>
          <w:tcPr>
            <w:tcW w:w="540" w:type="dxa"/>
            <w:vAlign w:val="bottom"/>
            <w:vMerge w:val="restart"/>
          </w:tcPr>
          <w:p>
            <w:pPr>
              <w:jc w:val="center"/>
              <w:ind w:right="230"/>
              <w:spacing w:after="0"/>
              <w:rPr>
                <w:sz w:val="20"/>
                <w:szCs w:val="20"/>
                <w:color w:val="auto"/>
              </w:rPr>
            </w:pPr>
            <w:r>
              <w:rPr>
                <w:rFonts w:ascii="Arial" w:cs="Arial" w:eastAsia="Arial" w:hAnsi="Arial"/>
                <w:sz w:val="11"/>
                <w:szCs w:val="11"/>
                <w:color w:val="008000"/>
                <w:w w:val="88"/>
              </w:rPr>
              <w:t>(2)</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5"/>
              <w:spacing w:after="0"/>
              <w:rPr>
                <w:sz w:val="20"/>
                <w:szCs w:val="20"/>
                <w:color w:val="auto"/>
              </w:rPr>
            </w:pPr>
            <w:r>
              <w:rPr>
                <w:rFonts w:ascii="Arial" w:cs="Arial" w:eastAsia="Arial" w:hAnsi="Arial"/>
                <w:sz w:val="17"/>
                <w:szCs w:val="17"/>
                <w:color w:val="0000FF"/>
                <w:w w:val="93"/>
              </w:rPr>
              <w:t>2,164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02/12/2021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2,164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60"/>
              <w:spacing w:after="0" w:line="143"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6"/>
                <w:szCs w:val="16"/>
                <w:color w:val="auto"/>
              </w:rPr>
            </w:pPr>
          </w:p>
        </w:tc>
        <w:tc>
          <w:tcPr>
            <w:tcW w:w="540" w:type="dxa"/>
            <w:vAlign w:val="bottom"/>
            <w:vMerge w:val="restart"/>
          </w:tcPr>
          <w:p>
            <w:pPr>
              <w:jc w:val="center"/>
              <w:ind w:right="230"/>
              <w:spacing w:after="0"/>
              <w:rPr>
                <w:sz w:val="20"/>
                <w:szCs w:val="20"/>
                <w:color w:val="auto"/>
              </w:rPr>
            </w:pPr>
            <w:r>
              <w:rPr>
                <w:rFonts w:ascii="Arial" w:cs="Arial" w:eastAsia="Arial" w:hAnsi="Arial"/>
                <w:sz w:val="11"/>
                <w:szCs w:val="11"/>
                <w:color w:val="008000"/>
                <w:w w:val="88"/>
              </w:rPr>
              <w:t>(4)</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5"/>
              <w:spacing w:after="0"/>
              <w:rPr>
                <w:sz w:val="20"/>
                <w:szCs w:val="20"/>
                <w:color w:val="auto"/>
              </w:rPr>
            </w:pPr>
            <w:r>
              <w:rPr>
                <w:rFonts w:ascii="Arial" w:cs="Arial" w:eastAsia="Arial" w:hAnsi="Arial"/>
                <w:sz w:val="17"/>
                <w:szCs w:val="17"/>
                <w:color w:val="0000FF"/>
                <w:w w:val="93"/>
              </w:rPr>
              <w:t>2,999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02/12/2021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2,164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60"/>
              <w:spacing w:after="0" w:line="143"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88"/>
              </w:rPr>
              <w:t>(6)</w:t>
            </w:r>
          </w:p>
        </w:tc>
        <w:tc>
          <w:tcPr>
            <w:tcW w:w="220" w:type="dxa"/>
            <w:vAlign w:val="bottom"/>
          </w:tcPr>
          <w:p>
            <w:pPr>
              <w:spacing w:after="0"/>
              <w:rPr>
                <w:sz w:val="16"/>
                <w:szCs w:val="16"/>
                <w:color w:val="auto"/>
              </w:rPr>
            </w:pPr>
          </w:p>
        </w:tc>
        <w:tc>
          <w:tcPr>
            <w:tcW w:w="540" w:type="dxa"/>
            <w:vAlign w:val="bottom"/>
            <w:vMerge w:val="restart"/>
          </w:tcPr>
          <w:p>
            <w:pPr>
              <w:jc w:val="center"/>
              <w:ind w:right="230"/>
              <w:spacing w:after="0"/>
              <w:rPr>
                <w:sz w:val="20"/>
                <w:szCs w:val="20"/>
                <w:color w:val="auto"/>
              </w:rPr>
            </w:pPr>
            <w:r>
              <w:rPr>
                <w:rFonts w:ascii="Arial" w:cs="Arial" w:eastAsia="Arial" w:hAnsi="Arial"/>
                <w:sz w:val="11"/>
                <w:szCs w:val="11"/>
                <w:color w:val="008000"/>
                <w:w w:val="88"/>
              </w:rPr>
              <w:t>(6)</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5"/>
              <w:spacing w:after="0"/>
              <w:rPr>
                <w:sz w:val="20"/>
                <w:szCs w:val="20"/>
                <w:color w:val="auto"/>
              </w:rPr>
            </w:pPr>
            <w:r>
              <w:rPr>
                <w:rFonts w:ascii="Arial" w:cs="Arial" w:eastAsia="Arial" w:hAnsi="Arial"/>
                <w:sz w:val="17"/>
                <w:szCs w:val="17"/>
                <w:color w:val="0000FF"/>
                <w:w w:val="93"/>
              </w:rPr>
              <w:t>1,852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02/12/2021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1,852</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80"/>
              <w:spacing w:after="0" w:line="143" w:lineRule="exact"/>
              <w:rPr>
                <w:sz w:val="20"/>
                <w:szCs w:val="20"/>
                <w:color w:val="auto"/>
              </w:rPr>
            </w:pPr>
            <w:r>
              <w:rPr>
                <w:rFonts w:ascii="Arial" w:cs="Arial" w:eastAsia="Arial" w:hAnsi="Arial"/>
                <w:sz w:val="13"/>
                <w:szCs w:val="13"/>
                <w:color w:val="0000FF"/>
                <w:w w:val="85"/>
              </w:rPr>
              <w:t>1,852</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w w:val="88"/>
              </w:rPr>
              <w:t>(8)</w:t>
            </w:r>
          </w:p>
        </w:tc>
        <w:tc>
          <w:tcPr>
            <w:tcW w:w="220" w:type="dxa"/>
            <w:vAlign w:val="bottom"/>
          </w:tcPr>
          <w:p>
            <w:pPr>
              <w:spacing w:after="0"/>
              <w:rPr>
                <w:sz w:val="16"/>
                <w:szCs w:val="16"/>
                <w:color w:val="auto"/>
              </w:rPr>
            </w:pPr>
          </w:p>
        </w:tc>
        <w:tc>
          <w:tcPr>
            <w:tcW w:w="540" w:type="dxa"/>
            <w:vAlign w:val="bottom"/>
            <w:vMerge w:val="restart"/>
          </w:tcPr>
          <w:p>
            <w:pPr>
              <w:jc w:val="center"/>
              <w:ind w:right="230"/>
              <w:spacing w:after="0"/>
              <w:rPr>
                <w:sz w:val="20"/>
                <w:szCs w:val="20"/>
                <w:color w:val="auto"/>
              </w:rPr>
            </w:pPr>
            <w:r>
              <w:rPr>
                <w:rFonts w:ascii="Arial" w:cs="Arial" w:eastAsia="Arial" w:hAnsi="Arial"/>
                <w:sz w:val="11"/>
                <w:szCs w:val="11"/>
                <w:color w:val="008000"/>
                <w:w w:val="88"/>
              </w:rPr>
              <w:t>(8)</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5"/>
              <w:spacing w:after="0"/>
              <w:rPr>
                <w:sz w:val="20"/>
                <w:szCs w:val="20"/>
                <w:color w:val="auto"/>
              </w:rPr>
            </w:pPr>
            <w:r>
              <w:rPr>
                <w:rFonts w:ascii="Arial" w:cs="Arial" w:eastAsia="Arial" w:hAnsi="Arial"/>
                <w:sz w:val="17"/>
                <w:szCs w:val="17"/>
                <w:color w:val="0000FF"/>
                <w:w w:val="93"/>
              </w:rPr>
              <w:t>1,784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02/12/2021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1,852</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60"/>
              <w:spacing w:after="0" w:line="143"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-5727700</wp:posOffset>
            </wp:positionV>
            <wp:extent cx="7033260" cy="5770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77024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Unisys Corporation common stock.</w:t>
      </w:r>
    </w:p>
    <w:p>
      <w:pPr>
        <w:spacing w:after="0" w:line="45" w:lineRule="exact"/>
        <w:rPr>
          <w:rFonts w:ascii="Arial" w:cs="Arial" w:eastAsia="Arial" w:hAnsi="Arial"/>
          <w:sz w:val="13"/>
          <w:szCs w:val="13"/>
          <w:color w:val="008000"/>
        </w:rPr>
      </w:pPr>
    </w:p>
    <w:p>
      <w:pPr>
        <w:ind w:left="40" w:right="4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Time-based restricted stock units ("TB-RSUs") granted on February 12, 2018 under the Unisys Corporation 2016 Long-Term Incentive and Equity Compensation Plan. The TB-RSUs vest in three equal installments on February 12, 2019, 2020 and 2021, respectively (or is such date does not fall on a trading day, the immediately preceding trading day).</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1.3858 shares of Unisys Corporation common stock.</w:t>
      </w:r>
    </w:p>
    <w:p>
      <w:pPr>
        <w:spacing w:after="0" w:line="45" w:lineRule="exact"/>
        <w:rPr>
          <w:rFonts w:ascii="Arial" w:cs="Arial" w:eastAsia="Arial" w:hAnsi="Arial"/>
          <w:sz w:val="13"/>
          <w:szCs w:val="13"/>
          <w:color w:val="008000"/>
        </w:rPr>
      </w:pPr>
    </w:p>
    <w:p>
      <w:pPr>
        <w:ind w:left="40" w:right="200" w:firstLine="3"/>
        <w:spacing w:after="0" w:line="259"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Performance-based restricted stock units ("PB-RSUs") granted on February 12, 2018 under the Unisys Corporation 2016 Long-Term Incentive and Equity Compensation Plan. The PB-RSUs are eligible to be earned in equal annual amounts over a three year period based on Unisys Corporation's relative total shareholder return compared to the Russell 2000 Index from January 1, 2018 through December 31, 2018, 2019 and 2020, respectively, and then such PB-RSUs vest on the later of February 12, 2019, 2020 and 2021, respectively (or is such date does not fall on a trading day, the immediately preceding trading day), and the date on which the Board of Directors verifies the vesting of the applicable tranche of the PB-RSU grant to Unisys Corporation's Chief Executive Officer. This report only relates to the PB-RSUs the reporting person earned during the 2020 performance period. All shares resulting from such earned PB-RSUs vested on February 12, 2021.</w:t>
      </w:r>
    </w:p>
    <w:p>
      <w:pPr>
        <w:spacing w:after="0" w:line="22"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Unisys Corporation common stock.</w:t>
      </w:r>
    </w:p>
    <w:p>
      <w:pPr>
        <w:spacing w:after="0" w:line="45" w:lineRule="exact"/>
        <w:rPr>
          <w:rFonts w:ascii="Arial" w:cs="Arial" w:eastAsia="Arial" w:hAnsi="Arial"/>
          <w:sz w:val="13"/>
          <w:szCs w:val="13"/>
          <w:color w:val="008000"/>
        </w:rPr>
      </w:pPr>
    </w:p>
    <w:p>
      <w:pPr>
        <w:ind w:left="40" w:right="4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Time-based restricted stock units ("TB-RSUs") granted on February 15, 2019 under the Unisys Corporation 2016 Long-Term Incentive and Equity Compensation Plan. The TB-RSUs vest in three equal installments on February 15, 2020, 2021 and 2022, respectively (or if such date does not fall on a trading day, the immediately preceding trading day).</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0.9632 shares of Unisys Corporation common stock.</w:t>
      </w:r>
    </w:p>
    <w:p>
      <w:pPr>
        <w:spacing w:after="0" w:line="45" w:lineRule="exact"/>
        <w:rPr>
          <w:rFonts w:ascii="Arial" w:cs="Arial" w:eastAsia="Arial" w:hAnsi="Arial"/>
          <w:sz w:val="13"/>
          <w:szCs w:val="13"/>
          <w:color w:val="008000"/>
        </w:rPr>
      </w:pPr>
    </w:p>
    <w:p>
      <w:pPr>
        <w:ind w:left="40" w:right="200" w:firstLine="3"/>
        <w:spacing w:after="0" w:line="306"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Performance-based restricted stock units ("PB-RSUs") granted on February 15, 2019 under the Unisys Corporation 2016 Long-Term Incentive and Equity Compensation Plan. The PB-RSUs are eligible to be earned in equal annual amounts over a three year period based on Unisys Corporation's relative total shareholder return compared to the Russell 2000 Index from January 1, 2019 through December 31, 2019, 2020 and 2021, respectively, and then such PB-RSUs vest on the later of February 15, 2020, 2021 and 2022, respectively (or is such date does not fall on a trading day, the immediately preceding trading</w:t>
      </w:r>
    </w:p>
    <w:p>
      <w:pPr>
        <w:sectPr>
          <w:pgSz w:w="11900" w:h="16935" w:orient="portrait"/>
          <w:cols w:equalWidth="0" w:num="1">
            <w:col w:w="11080"/>
          </w:cols>
          <w:pgMar w:left="460" w:top="222" w:right="359" w:bottom="0" w:gutter="0" w:footer="0" w:header="0"/>
          <w:type w:val="continuous"/>
        </w:sectPr>
      </w:pPr>
    </w:p>
    <w:bookmarkStart w:id="1" w:name="page2"/>
    <w:bookmarkEnd w:id="1"/>
    <w:p>
      <w:pPr>
        <w:spacing w:after="0" w:line="250" w:lineRule="auto"/>
        <w:rPr>
          <w:sz w:val="20"/>
          <w:szCs w:val="20"/>
          <w:color w:val="auto"/>
        </w:rPr>
      </w:pPr>
      <w:r>
        <w:rPr>
          <w:rFonts w:ascii="Arial" w:cs="Arial" w:eastAsia="Arial" w:hAnsi="Arial"/>
          <w:sz w:val="13"/>
          <w:szCs w:val="13"/>
          <w:color w:val="008000"/>
        </w:rPr>
        <w:t>day), and the date on which the Board of Directors verifies the vesting of the applicable tranche of the PB-RSU grant to Unisys Corporation's Chief Executive Officer. This report only relates to the PB-RSUs the reporting person earned during the 2020 performance period. All shares resulting from such earned PB-RSUs vested on February 12, 2021.</w:t>
      </w:r>
    </w:p>
    <w:p>
      <w:pPr>
        <w:spacing w:after="0" w:line="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John M. Armbruster, attorney-</w:t>
      </w:r>
      <w:r>
        <w:rPr>
          <w:sz w:val="20"/>
          <w:szCs w:val="20"/>
          <w:color w:val="auto"/>
        </w:rPr>
        <w:tab/>
      </w:r>
      <w:r>
        <w:rPr>
          <w:rFonts w:ascii="Arial" w:cs="Arial" w:eastAsia="Arial" w:hAnsi="Arial"/>
          <w:sz w:val="22"/>
          <w:szCs w:val="22"/>
          <w:color w:val="0000FF"/>
          <w:vertAlign w:val="subscript"/>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-13970</wp:posOffset>
            </wp:positionV>
            <wp:extent cx="1310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26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5005" TargetMode="External"/><Relationship Id="rId14" Type="http://schemas.openxmlformats.org/officeDocument/2006/relationships/hyperlink" Target="http://www.sec.gov/cgi-bin/browse-edgar?action=getcompany&amp;CIK=0000746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2021-02-17T12:54:01Z</dcterms:created>
  <dcterms:modified xsi:type="dcterms:W3CDTF">2021-02-17T12:54:01Z</dcterms:modified>
</cp:coreProperties>
</file>