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720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Poggenpohl Teresa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UNISYS CORPORATION</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801 LAKEVIEW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UNISYS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UIS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01/01/2022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4"/>
        <w:spacing w:after="0"/>
        <w:rPr>
          <w:sz w:val="20"/>
          <w:szCs w:val="20"/>
          <w:color w:val="auto"/>
        </w:rPr>
      </w:pPr>
      <w:r>
        <w:rPr>
          <w:rFonts w:ascii="Arial" w:cs="Arial" w:eastAsia="Arial" w:hAnsi="Arial"/>
          <w:sz w:val="17"/>
          <w:szCs w:val="17"/>
          <w:color w:val="0000FF"/>
        </w:rPr>
        <w:t>Senior Vice President</w:t>
      </w:r>
    </w:p>
    <w:p>
      <w:pPr>
        <w:spacing w:after="0" w:line="391"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BLUE BELL</w:t>
            </w:r>
          </w:p>
        </w:tc>
        <w:tc>
          <w:tcPr>
            <w:tcW w:w="220" w:type="dxa"/>
            <w:vAlign w:val="bottom"/>
            <w:vMerge w:val="restart"/>
          </w:tcPr>
          <w:p>
            <w:pPr>
              <w:spacing w:after="0"/>
              <w:rPr>
                <w:sz w:val="20"/>
                <w:szCs w:val="20"/>
                <w:color w:val="auto"/>
              </w:rPr>
            </w:pPr>
            <w:r>
              <w:rPr>
                <w:rFonts w:ascii="Arial" w:cs="Arial" w:eastAsia="Arial" w:hAnsi="Arial"/>
                <w:sz w:val="17"/>
                <w:szCs w:val="17"/>
                <w:color w:val="0000FF"/>
                <w:w w:val="87"/>
              </w:rPr>
              <w:t>PA</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19422</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1,603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01/01/2022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1,781</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Each restricted stock unit represents a contingent right to receive 0.9000 shares of Unisys Corporation common stock.</w:t>
      </w:r>
    </w:p>
    <w:p>
      <w:pPr>
        <w:spacing w:after="0" w:line="46" w:lineRule="exact"/>
        <w:rPr>
          <w:sz w:val="24"/>
          <w:szCs w:val="24"/>
          <w:color w:val="auto"/>
        </w:rPr>
      </w:pPr>
    </w:p>
    <w:p>
      <w:pPr>
        <w:ind w:left="40" w:right="140"/>
        <w:spacing w:after="0" w:line="237" w:lineRule="auto"/>
        <w:rPr>
          <w:sz w:val="20"/>
          <w:szCs w:val="20"/>
          <w:color w:val="auto"/>
        </w:rPr>
      </w:pPr>
      <w:r>
        <w:rPr>
          <w:rFonts w:ascii="Arial" w:cs="Arial" w:eastAsia="Arial" w:hAnsi="Arial"/>
          <w:sz w:val="13"/>
          <w:szCs w:val="13"/>
          <w:color w:val="008000"/>
        </w:rPr>
        <w:t>2. Performance-based restricted stock units ("PB-RSUs") granted on May 3, 2021 under the Unisys Corporation 2019 Long-Term Incentive and Equity Compensation Plan. The PB-RSUs are eligible to be earned in equal annual amounts over a three year period based on Unisys Corporation's relative total shareholder return compared to the Russell 2000 Index from January 1, 2021 through December 31, 2021, 2022 and 2023, respectively, and then such PB-RSUs would vest on May 3, 2022, 2023 and 2024, respectively. This report only relates to the PB-RSUs the reporting person earned during the 2021 performance period. All shares resulting from such earned PB-RSUs will vest on May 3, 2022.</w:t>
      </w:r>
    </w:p>
    <w:p>
      <w:pPr>
        <w:spacing w:after="0" w:line="2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N. Natasha Redding,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01/04/2022</w:t>
            </w:r>
          </w:p>
        </w:tc>
        <w:tc>
          <w:tcPr>
            <w:tcW w:w="0" w:type="dxa"/>
            <w:vAlign w:val="bottom"/>
          </w:tcPr>
          <w:p>
            <w:pPr>
              <w:spacing w:after="0"/>
              <w:rPr>
                <w:sz w:val="1"/>
                <w:szCs w:val="1"/>
                <w:color w:val="auto"/>
              </w:rPr>
            </w:pPr>
          </w:p>
        </w:tc>
      </w:tr>
      <w:tr>
        <w:trPr>
          <w:trHeight w:val="89"/>
        </w:trPr>
        <w:tc>
          <w:tcPr>
            <w:tcW w:w="440" w:type="dxa"/>
            <w:vAlign w:val="bottom"/>
            <w:vMerge w:val="restart"/>
          </w:tcPr>
          <w:p>
            <w:pPr>
              <w:spacing w:after="0" w:line="188" w:lineRule="exact"/>
              <w:rPr>
                <w:sz w:val="20"/>
                <w:szCs w:val="20"/>
                <w:color w:val="auto"/>
              </w:rPr>
            </w:pPr>
            <w:r>
              <w:rPr>
                <w:rFonts w:ascii="Arial" w:cs="Arial" w:eastAsia="Arial" w:hAnsi="Arial"/>
                <w:sz w:val="17"/>
                <w:szCs w:val="17"/>
                <w:color w:val="0000FF"/>
                <w:w w:val="90"/>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3018" TargetMode="External"/><Relationship Id="rId13" Type="http://schemas.openxmlformats.org/officeDocument/2006/relationships/hyperlink" Target="http://www.sec.gov/cgi-bin/browse-edgar?action=getcompany&amp;CIK=0000746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2022-01-04T20:42:38Z</dcterms:created>
  <dcterms:modified xsi:type="dcterms:W3CDTF">2022-01-04T20:42:38Z</dcterms:modified>
</cp:coreProperties>
</file>