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-595630</wp:posOffset>
            </wp:positionV>
            <wp:extent cx="8255" cy="59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-603885</wp:posOffset>
            </wp:positionV>
            <wp:extent cx="825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-579755</wp:posOffset>
            </wp:positionV>
            <wp:extent cx="1264920" cy="55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562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26035</wp:posOffset>
            </wp:positionV>
            <wp:extent cx="6970395" cy="1716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ALTABEF PETER</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980"/>
        <w:spacing w:after="0" w:line="367" w:lineRule="auto"/>
        <w:rPr>
          <w:sz w:val="20"/>
          <w:szCs w:val="20"/>
          <w:color w:val="auto"/>
        </w:rPr>
      </w:pPr>
      <w:r>
        <w:rPr>
          <w:rFonts w:ascii="Arial" w:cs="Arial" w:eastAsia="Arial" w:hAnsi="Arial"/>
          <w:sz w:val="15"/>
          <w:szCs w:val="15"/>
          <w:color w:val="0000FF"/>
        </w:rPr>
        <w:t>C/O UNISYS CORPORATION 801 LAKEVIEW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UNISYS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UIS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02/26/2021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8"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Arial" w:cs="Arial" w:eastAsia="Arial" w:hAnsi="Arial"/>
                <w:sz w:val="16"/>
                <w:szCs w:val="16"/>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0"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BLUE BELL</w:t>
            </w:r>
          </w:p>
        </w:tc>
        <w:tc>
          <w:tcPr>
            <w:tcW w:w="980" w:type="dxa"/>
            <w:vAlign w:val="bottom"/>
          </w:tcPr>
          <w:p>
            <w:pPr>
              <w:ind w:left="180"/>
              <w:spacing w:after="0"/>
              <w:rPr>
                <w:sz w:val="20"/>
                <w:szCs w:val="20"/>
                <w:color w:val="auto"/>
              </w:rPr>
            </w:pPr>
            <w:r>
              <w:rPr>
                <w:rFonts w:ascii="Arial" w:cs="Arial" w:eastAsia="Arial" w:hAnsi="Arial"/>
                <w:sz w:val="16"/>
                <w:szCs w:val="16"/>
                <w:color w:val="0000FF"/>
              </w:rPr>
              <w:t>PA</w:t>
            </w:r>
          </w:p>
        </w:tc>
        <w:tc>
          <w:tcPr>
            <w:tcW w:w="1620" w:type="dxa"/>
            <w:vAlign w:val="bottom"/>
          </w:tcPr>
          <w:p>
            <w:pPr>
              <w:ind w:left="420"/>
              <w:spacing w:after="0"/>
              <w:rPr>
                <w:sz w:val="20"/>
                <w:szCs w:val="20"/>
                <w:color w:val="auto"/>
              </w:rPr>
            </w:pPr>
            <w:r>
              <w:rPr>
                <w:rFonts w:ascii="Arial" w:cs="Arial" w:eastAsia="Arial" w:hAnsi="Arial"/>
                <w:sz w:val="16"/>
                <w:szCs w:val="16"/>
                <w:color w:val="0000FF"/>
              </w:rPr>
              <w:t>19422</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-2487295</wp:posOffset>
            </wp:positionH>
            <wp:positionV relativeFrom="paragraph">
              <wp:posOffset>179705</wp:posOffset>
            </wp:positionV>
            <wp:extent cx="697039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1700530"/>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1"/>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820" w:type="dxa"/>
            <w:vAlign w:val="bottom"/>
            <w:gridSpan w:val="2"/>
          </w:tcPr>
          <w:p>
            <w:pPr>
              <w:jc w:val="center"/>
              <w:ind w:left="671"/>
              <w:spacing w:after="0"/>
              <w:rPr>
                <w:sz w:val="20"/>
                <w:szCs w:val="20"/>
                <w:color w:val="auto"/>
              </w:rPr>
            </w:pPr>
            <w:r>
              <w:rPr>
                <w:rFonts w:ascii="Arial" w:cs="Arial" w:eastAsia="Arial" w:hAnsi="Arial"/>
                <w:sz w:val="16"/>
                <w:szCs w:val="16"/>
                <w:color w:val="0000FF"/>
                <w:w w:val="94"/>
              </w:rPr>
              <w:t>02/26/2021</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30,065</w:t>
            </w:r>
          </w:p>
        </w:tc>
        <w:tc>
          <w:tcPr>
            <w:tcW w:w="660" w:type="dxa"/>
            <w:vAlign w:val="bottom"/>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Pr>
          <w:p>
            <w:pPr>
              <w:jc w:val="center"/>
              <w:ind w:left="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21"/>
                <w:szCs w:val="21"/>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6"/>
                <w:szCs w:val="16"/>
                <w:color w:val="0000FF"/>
              </w:rPr>
              <w:t>738,031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820" w:type="dxa"/>
            <w:vAlign w:val="bottom"/>
            <w:gridSpan w:val="2"/>
          </w:tcPr>
          <w:p>
            <w:pPr>
              <w:jc w:val="center"/>
              <w:ind w:left="671"/>
              <w:spacing w:after="0"/>
              <w:rPr>
                <w:sz w:val="20"/>
                <w:szCs w:val="20"/>
                <w:color w:val="auto"/>
              </w:rPr>
            </w:pPr>
            <w:r>
              <w:rPr>
                <w:rFonts w:ascii="Arial" w:cs="Arial" w:eastAsia="Arial" w:hAnsi="Arial"/>
                <w:sz w:val="16"/>
                <w:szCs w:val="16"/>
                <w:color w:val="0000FF"/>
                <w:w w:val="94"/>
              </w:rPr>
              <w:t>02/26/2021</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center"/>
              <w:ind w:right="262"/>
              <w:spacing w:after="0"/>
              <w:rPr>
                <w:sz w:val="20"/>
                <w:szCs w:val="20"/>
                <w:color w:val="auto"/>
              </w:rPr>
            </w:pPr>
            <w:r>
              <w:rPr>
                <w:rFonts w:ascii="Arial" w:cs="Arial" w:eastAsia="Arial" w:hAnsi="Arial"/>
                <w:sz w:val="13"/>
                <w:szCs w:val="13"/>
                <w:color w:val="0000FF"/>
                <w:w w:val="74"/>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11,830</w:t>
            </w:r>
          </w:p>
        </w:tc>
        <w:tc>
          <w:tcPr>
            <w:tcW w:w="660" w:type="dxa"/>
            <w:vAlign w:val="bottom"/>
          </w:tcPr>
          <w:p>
            <w:pPr>
              <w:ind w:left="320"/>
              <w:spacing w:after="0"/>
              <w:rPr>
                <w:sz w:val="20"/>
                <w:szCs w:val="20"/>
                <w:color w:val="auto"/>
              </w:rPr>
            </w:pPr>
            <w:r>
              <w:rPr>
                <w:rFonts w:ascii="Arial" w:cs="Arial" w:eastAsia="Arial" w:hAnsi="Arial"/>
                <w:sz w:val="16"/>
                <w:szCs w:val="16"/>
                <w:color w:val="0000FF"/>
              </w:rPr>
              <w:t>D</w:t>
            </w: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24.55</w:t>
            </w:r>
          </w:p>
        </w:tc>
        <w:tc>
          <w:tcPr>
            <w:tcW w:w="1260" w:type="dxa"/>
            <w:vAlign w:val="bottom"/>
            <w:gridSpan w:val="3"/>
          </w:tcPr>
          <w:p>
            <w:pPr>
              <w:jc w:val="right"/>
              <w:ind w:right="301"/>
              <w:spacing w:after="0"/>
              <w:rPr>
                <w:sz w:val="20"/>
                <w:szCs w:val="20"/>
                <w:color w:val="auto"/>
              </w:rPr>
            </w:pPr>
            <w:r>
              <w:rPr>
                <w:rFonts w:ascii="Arial" w:cs="Arial" w:eastAsia="Arial" w:hAnsi="Arial"/>
                <w:sz w:val="16"/>
                <w:szCs w:val="16"/>
                <w:color w:val="0000FF"/>
              </w:rPr>
              <w:t>726,201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820" w:type="dxa"/>
            <w:vAlign w:val="bottom"/>
            <w:gridSpan w:val="2"/>
          </w:tcPr>
          <w:p>
            <w:pPr>
              <w:jc w:val="center"/>
              <w:ind w:left="671"/>
              <w:spacing w:after="0"/>
              <w:rPr>
                <w:sz w:val="20"/>
                <w:szCs w:val="20"/>
                <w:color w:val="auto"/>
              </w:rPr>
            </w:pPr>
            <w:r>
              <w:rPr>
                <w:rFonts w:ascii="Arial" w:cs="Arial" w:eastAsia="Arial" w:hAnsi="Arial"/>
                <w:sz w:val="16"/>
                <w:szCs w:val="16"/>
                <w:color w:val="0000FF"/>
                <w:w w:val="94"/>
              </w:rPr>
              <w:t>02/26/2021</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47,145</w:t>
            </w:r>
          </w:p>
        </w:tc>
        <w:tc>
          <w:tcPr>
            <w:tcW w:w="660" w:type="dxa"/>
            <w:vAlign w:val="bottom"/>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Pr>
          <w:p>
            <w:pPr>
              <w:jc w:val="center"/>
              <w:ind w:left="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21"/>
                <w:szCs w:val="21"/>
                <w:color w:val="auto"/>
              </w:rPr>
            </w:pPr>
          </w:p>
        </w:tc>
        <w:tc>
          <w:tcPr>
            <w:tcW w:w="1260" w:type="dxa"/>
            <w:vAlign w:val="bottom"/>
            <w:gridSpan w:val="3"/>
          </w:tcPr>
          <w:p>
            <w:pPr>
              <w:jc w:val="right"/>
              <w:ind w:right="301"/>
              <w:spacing w:after="0"/>
              <w:rPr>
                <w:sz w:val="20"/>
                <w:szCs w:val="20"/>
                <w:color w:val="auto"/>
              </w:rPr>
            </w:pPr>
            <w:r>
              <w:rPr>
                <w:rFonts w:ascii="Arial" w:cs="Arial" w:eastAsia="Arial" w:hAnsi="Arial"/>
                <w:sz w:val="16"/>
                <w:szCs w:val="16"/>
                <w:color w:val="0000FF"/>
              </w:rPr>
              <w:t>773,346</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820" w:type="dxa"/>
            <w:vAlign w:val="bottom"/>
            <w:gridSpan w:val="2"/>
          </w:tcPr>
          <w:p>
            <w:pPr>
              <w:jc w:val="center"/>
              <w:ind w:left="671"/>
              <w:spacing w:after="0"/>
              <w:rPr>
                <w:sz w:val="20"/>
                <w:szCs w:val="20"/>
                <w:color w:val="auto"/>
              </w:rPr>
            </w:pPr>
            <w:r>
              <w:rPr>
                <w:rFonts w:ascii="Arial" w:cs="Arial" w:eastAsia="Arial" w:hAnsi="Arial"/>
                <w:sz w:val="16"/>
                <w:szCs w:val="16"/>
                <w:color w:val="0000FF"/>
                <w:w w:val="94"/>
              </w:rPr>
              <w:t>02/26/2021</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center"/>
              <w:ind w:right="262"/>
              <w:spacing w:after="0"/>
              <w:rPr>
                <w:sz w:val="20"/>
                <w:szCs w:val="20"/>
                <w:color w:val="auto"/>
              </w:rPr>
            </w:pPr>
            <w:r>
              <w:rPr>
                <w:rFonts w:ascii="Arial" w:cs="Arial" w:eastAsia="Arial" w:hAnsi="Arial"/>
                <w:sz w:val="13"/>
                <w:szCs w:val="13"/>
                <w:color w:val="0000FF"/>
                <w:w w:val="74"/>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18,551</w:t>
            </w:r>
          </w:p>
        </w:tc>
        <w:tc>
          <w:tcPr>
            <w:tcW w:w="660" w:type="dxa"/>
            <w:vAlign w:val="bottom"/>
          </w:tcPr>
          <w:p>
            <w:pPr>
              <w:ind w:left="320"/>
              <w:spacing w:after="0"/>
              <w:rPr>
                <w:sz w:val="20"/>
                <w:szCs w:val="20"/>
                <w:color w:val="auto"/>
              </w:rPr>
            </w:pPr>
            <w:r>
              <w:rPr>
                <w:rFonts w:ascii="Arial" w:cs="Arial" w:eastAsia="Arial" w:hAnsi="Arial"/>
                <w:sz w:val="16"/>
                <w:szCs w:val="16"/>
                <w:color w:val="0000FF"/>
              </w:rPr>
              <w:t>D</w:t>
            </w: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24.55</w:t>
            </w:r>
          </w:p>
        </w:tc>
        <w:tc>
          <w:tcPr>
            <w:tcW w:w="1260" w:type="dxa"/>
            <w:vAlign w:val="bottom"/>
            <w:gridSpan w:val="3"/>
          </w:tcPr>
          <w:p>
            <w:pPr>
              <w:jc w:val="right"/>
              <w:ind w:right="301"/>
              <w:spacing w:after="0"/>
              <w:rPr>
                <w:sz w:val="20"/>
                <w:szCs w:val="20"/>
                <w:color w:val="auto"/>
              </w:rPr>
            </w:pPr>
            <w:r>
              <w:rPr>
                <w:rFonts w:ascii="Arial" w:cs="Arial" w:eastAsia="Arial" w:hAnsi="Arial"/>
                <w:sz w:val="16"/>
                <w:szCs w:val="16"/>
                <w:color w:val="0000FF"/>
              </w:rPr>
              <w:t>754,795</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9"/>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35"/>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30,065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0000FF"/>
                <w:w w:val="89"/>
              </w:rPr>
              <w:t>02/26/2021</w:t>
            </w:r>
          </w:p>
        </w:tc>
        <w:tc>
          <w:tcPr>
            <w:tcW w:w="1080" w:type="dxa"/>
            <w:vAlign w:val="bottom"/>
          </w:tcPr>
          <w:p>
            <w:pPr>
              <w:spacing w:after="0"/>
              <w:rPr>
                <w:sz w:val="10"/>
                <w:szCs w:val="10"/>
                <w:color w:val="auto"/>
              </w:rPr>
            </w:pPr>
          </w:p>
        </w:tc>
        <w:tc>
          <w:tcPr>
            <w:tcW w:w="740" w:type="dxa"/>
            <w:vAlign w:val="bottom"/>
          </w:tcPr>
          <w:p>
            <w:pPr>
              <w:jc w:val="center"/>
              <w:ind w:right="281"/>
              <w:spacing w:after="0" w:line="123"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0"/>
                <w:szCs w:val="10"/>
                <w:color w:val="auto"/>
              </w:rPr>
            </w:pPr>
          </w:p>
        </w:tc>
        <w:tc>
          <w:tcPr>
            <w:tcW w:w="520" w:type="dxa"/>
            <w:vAlign w:val="bottom"/>
          </w:tcPr>
          <w:p>
            <w:pPr>
              <w:ind w:left="60"/>
              <w:spacing w:after="0" w:line="123" w:lineRule="exact"/>
              <w:rPr>
                <w:sz w:val="20"/>
                <w:szCs w:val="20"/>
                <w:color w:val="auto"/>
              </w:rPr>
            </w:pPr>
            <w:r>
              <w:rPr>
                <w:rFonts w:ascii="Arial" w:cs="Arial" w:eastAsia="Arial" w:hAnsi="Arial"/>
                <w:sz w:val="13"/>
                <w:szCs w:val="13"/>
                <w:color w:val="0000FF"/>
              </w:rPr>
              <w:t>30,065</w:t>
            </w: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ind w:right="3"/>
              <w:spacing w:after="0" w:line="123" w:lineRule="exact"/>
              <w:rPr>
                <w:sz w:val="20"/>
                <w:szCs w:val="20"/>
                <w:color w:val="auto"/>
              </w:rPr>
            </w:pPr>
            <w:r>
              <w:rPr>
                <w:rFonts w:ascii="Arial" w:cs="Arial" w:eastAsia="Arial" w:hAnsi="Arial"/>
                <w:sz w:val="13"/>
                <w:szCs w:val="13"/>
                <w:color w:val="0000FF"/>
                <w:w w:val="90"/>
              </w:rPr>
              <w:t>60,132</w:t>
            </w:r>
          </w:p>
        </w:tc>
        <w:tc>
          <w:tcPr>
            <w:tcW w:w="6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5"/>
              <w:spacing w:after="0" w:line="140" w:lineRule="exact"/>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right"/>
              <w:ind w:right="235"/>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47,145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0000FF"/>
                <w:w w:val="89"/>
              </w:rPr>
              <w:t>02/26/2021</w:t>
            </w:r>
          </w:p>
        </w:tc>
        <w:tc>
          <w:tcPr>
            <w:tcW w:w="1080" w:type="dxa"/>
            <w:vAlign w:val="bottom"/>
          </w:tcPr>
          <w:p>
            <w:pPr>
              <w:spacing w:after="0"/>
              <w:rPr>
                <w:sz w:val="10"/>
                <w:szCs w:val="10"/>
                <w:color w:val="auto"/>
              </w:rPr>
            </w:pPr>
          </w:p>
        </w:tc>
        <w:tc>
          <w:tcPr>
            <w:tcW w:w="740" w:type="dxa"/>
            <w:vAlign w:val="bottom"/>
          </w:tcPr>
          <w:p>
            <w:pPr>
              <w:jc w:val="center"/>
              <w:ind w:right="281"/>
              <w:spacing w:after="0" w:line="123"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0"/>
                <w:szCs w:val="10"/>
                <w:color w:val="auto"/>
              </w:rPr>
            </w:pPr>
          </w:p>
        </w:tc>
        <w:tc>
          <w:tcPr>
            <w:tcW w:w="520" w:type="dxa"/>
            <w:vAlign w:val="bottom"/>
          </w:tcPr>
          <w:p>
            <w:pPr>
              <w:ind w:left="60"/>
              <w:spacing w:after="0" w:line="123" w:lineRule="exact"/>
              <w:rPr>
                <w:sz w:val="20"/>
                <w:szCs w:val="20"/>
                <w:color w:val="auto"/>
              </w:rPr>
            </w:pPr>
            <w:r>
              <w:rPr>
                <w:rFonts w:ascii="Arial" w:cs="Arial" w:eastAsia="Arial" w:hAnsi="Arial"/>
                <w:sz w:val="13"/>
                <w:szCs w:val="13"/>
                <w:color w:val="0000FF"/>
              </w:rPr>
              <w:t>30,065</w:t>
            </w: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0"/>
                <w:szCs w:val="10"/>
                <w:color w:val="auto"/>
              </w:rPr>
            </w:pPr>
          </w:p>
        </w:tc>
        <w:tc>
          <w:tcPr>
            <w:tcW w:w="6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5"/>
              <w:spacing w:after="0" w:line="140" w:lineRule="exact"/>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right"/>
              <w:ind w:right="235"/>
              <w:spacing w:after="0"/>
              <w:rPr>
                <w:sz w:val="20"/>
                <w:szCs w:val="20"/>
                <w:color w:val="auto"/>
              </w:rPr>
            </w:pPr>
            <w:r>
              <w:rPr>
                <w:rFonts w:ascii="Arial" w:cs="Arial" w:eastAsia="Arial" w:hAnsi="Arial"/>
                <w:sz w:val="11"/>
                <w:szCs w:val="11"/>
                <w:color w:val="008000"/>
              </w:rPr>
              <w:t>(6)</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65,581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0000FF"/>
                <w:w w:val="89"/>
              </w:rPr>
              <w:t>02/26/2021</w:t>
            </w:r>
          </w:p>
        </w:tc>
        <w:tc>
          <w:tcPr>
            <w:tcW w:w="1080" w:type="dxa"/>
            <w:vAlign w:val="bottom"/>
          </w:tcPr>
          <w:p>
            <w:pPr>
              <w:spacing w:after="0"/>
              <w:rPr>
                <w:sz w:val="10"/>
                <w:szCs w:val="10"/>
                <w:color w:val="auto"/>
              </w:rPr>
            </w:pPr>
          </w:p>
        </w:tc>
        <w:tc>
          <w:tcPr>
            <w:tcW w:w="740" w:type="dxa"/>
            <w:vAlign w:val="bottom"/>
          </w:tcPr>
          <w:p>
            <w:pPr>
              <w:jc w:val="center"/>
              <w:ind w:right="281"/>
              <w:spacing w:after="0" w:line="123"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23" w:lineRule="exact"/>
              <w:rPr>
                <w:sz w:val="20"/>
                <w:szCs w:val="20"/>
                <w:color w:val="auto"/>
              </w:rPr>
            </w:pPr>
            <w:r>
              <w:rPr>
                <w:rFonts w:ascii="Arial" w:cs="Arial" w:eastAsia="Arial" w:hAnsi="Arial"/>
                <w:sz w:val="13"/>
                <w:szCs w:val="13"/>
                <w:color w:val="0000FF"/>
              </w:rPr>
              <w:t>65,581</w:t>
            </w:r>
          </w:p>
        </w:tc>
        <w:tc>
          <w:tcPr>
            <w:tcW w:w="5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ind w:right="3"/>
              <w:spacing w:after="0" w:line="123" w:lineRule="exact"/>
              <w:rPr>
                <w:sz w:val="20"/>
                <w:szCs w:val="20"/>
                <w:color w:val="auto"/>
              </w:rPr>
            </w:pPr>
            <w:r>
              <w:rPr>
                <w:rFonts w:ascii="Arial" w:cs="Arial" w:eastAsia="Arial" w:hAnsi="Arial"/>
                <w:sz w:val="13"/>
                <w:szCs w:val="13"/>
                <w:color w:val="0000FF"/>
                <w:w w:val="90"/>
              </w:rPr>
              <w:t>65,581</w:t>
            </w:r>
          </w:p>
        </w:tc>
        <w:tc>
          <w:tcPr>
            <w:tcW w:w="6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5"/>
              <w:spacing w:after="0" w:line="140" w:lineRule="exact"/>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-2465070</wp:posOffset>
            </wp:positionV>
            <wp:extent cx="7034530" cy="2506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50634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Unisys Corporation common stock.</w:t>
      </w:r>
    </w:p>
    <w:p>
      <w:pPr>
        <w:spacing w:after="0" w:line="40" w:lineRule="exact"/>
        <w:rPr>
          <w:rFonts w:ascii="Arial" w:cs="Arial" w:eastAsia="Arial" w:hAnsi="Arial"/>
          <w:sz w:val="13"/>
          <w:szCs w:val="13"/>
          <w:color w:val="008000"/>
        </w:rPr>
      </w:pPr>
    </w:p>
    <w:p>
      <w:pPr>
        <w:ind w:left="40" w:right="68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Time-based restricted stock units ("TB-RSUs") granted on February 28, 2020 under the Unisys Corporation 2019 Long-Term Incentive and Equity Compensation Plan. The TB-RSUs vest in three equal installments on February 28, 2021, 2022 and 2023, respectively (or if such date does not fall on a trading day, the immediately preceding trading day).</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1.5681 shares of Unisys Corporation common stock.</w:t>
      </w:r>
    </w:p>
    <w:p>
      <w:pPr>
        <w:spacing w:after="0" w:line="40" w:lineRule="exact"/>
        <w:rPr>
          <w:rFonts w:ascii="Arial" w:cs="Arial" w:eastAsia="Arial" w:hAnsi="Arial"/>
          <w:sz w:val="13"/>
          <w:szCs w:val="13"/>
          <w:color w:val="008000"/>
        </w:rPr>
      </w:pPr>
    </w:p>
    <w:p>
      <w:pPr>
        <w:ind w:left="40" w:right="140"/>
        <w:spacing w:after="0" w:line="252"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Performance-based restricted stock units ("PB-RSUs") granted on February 28, 2020 under the Unisys Corporation 2019 Long-Term Incentive and Equity Compensation Plan. The PB-RSUs are eligible to be earned in equal annual amounts over a three year period based on Unisys Corporation's relative total shareholder return compared to the Russell 2000 Index from January 1, 2020 through December 31, 2020, 2021 and 2022, respectively, and then such PB-RSUs vest on the later of February 28, 2021, 2022 and 2023, respectively (or if such date does not fall on a trading day, the immediately preceding trading day), and the date on which the Board of Directors verifies the vesting of the applicable tranche of the PB-RSU grant to Unisys Corporation's Chief Executive Officer. This report only relates to the PB-RSUs the reporting person earned during the 2020 performance period. All shares resulting from such earned PB-RSUs vested on February 26, 2021.</w:t>
      </w:r>
    </w:p>
    <w:p>
      <w:pPr>
        <w:spacing w:after="0" w:line="2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Unisys Corporation common stock.</w:t>
      </w:r>
    </w:p>
    <w:p>
      <w:pPr>
        <w:spacing w:after="0" w:line="40" w:lineRule="exact"/>
        <w:rPr>
          <w:rFonts w:ascii="Arial" w:cs="Arial" w:eastAsia="Arial" w:hAnsi="Arial"/>
          <w:sz w:val="13"/>
          <w:szCs w:val="13"/>
          <w:color w:val="008000"/>
        </w:rPr>
      </w:pPr>
    </w:p>
    <w:p>
      <w:pPr>
        <w:ind w:left="40" w:right="68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Time-based restricted stock units ("TB-RSUs") granted on February 26, 2021 under the Unisys Corporation 2019 Long-Term Incentive and Equity Compensation Plan. The TB-RSUs vest in three equal installments on February 26, 2022, 2023 and 2024, respectively (or if such date does not fall on a trading day, the immediately preceding trading day).</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John M. Armbruster, attorney-</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03/02/2021</w:t>
            </w:r>
          </w:p>
        </w:tc>
        <w:tc>
          <w:tcPr>
            <w:tcW w:w="0" w:type="dxa"/>
            <w:vAlign w:val="bottom"/>
          </w:tcPr>
          <w:p>
            <w:pPr>
              <w:spacing w:after="0"/>
              <w:rPr>
                <w:sz w:val="1"/>
                <w:szCs w:val="1"/>
                <w:color w:val="auto"/>
              </w:rPr>
            </w:pPr>
          </w:p>
        </w:tc>
      </w:tr>
      <w:tr>
        <w:trPr>
          <w:trHeight w:val="87"/>
        </w:trPr>
        <w:tc>
          <w:tcPr>
            <w:tcW w:w="440" w:type="dxa"/>
            <w:vAlign w:val="bottom"/>
            <w:vMerge w:val="restart"/>
          </w:tcPr>
          <w:p>
            <w:pPr>
              <w:spacing w:after="0"/>
              <w:rPr>
                <w:sz w:val="20"/>
                <w:szCs w:val="20"/>
                <w:color w:val="auto"/>
              </w:rPr>
            </w:pPr>
            <w:r>
              <w:rPr>
                <w:rFonts w:ascii="Arial" w:cs="Arial" w:eastAsia="Arial" w:hAnsi="Arial"/>
                <w:sz w:val="16"/>
                <w:szCs w:val="16"/>
                <w:color w:val="0000FF"/>
                <w:w w:val="96"/>
              </w:rPr>
              <w:t>in-fact</w:t>
            </w:r>
          </w:p>
        </w:tc>
        <w:tc>
          <w:tcPr>
            <w:tcW w:w="17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EXECUTING FORMS 3, 4 and 5</w:t>
      </w:r>
    </w:p>
    <w:p>
      <w:pPr>
        <w:spacing w:after="0" w:line="199" w:lineRule="exact"/>
        <w:rPr>
          <w:sz w:val="20"/>
          <w:szCs w:val="20"/>
          <w:color w:val="auto"/>
        </w:rPr>
      </w:pPr>
    </w:p>
    <w:p>
      <w:pPr>
        <w:ind w:right="2079"/>
        <w:spacing w:after="0" w:line="252"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Gerald P. Kenney, John M. Armbruster, and N. Natasha Redding,</w:t>
      </w:r>
    </w:p>
    <w:p>
      <w:pPr>
        <w:ind w:right="2079"/>
        <w:spacing w:after="0" w:line="257" w:lineRule="auto"/>
        <w:rPr>
          <w:sz w:val="20"/>
          <w:szCs w:val="20"/>
          <w:color w:val="auto"/>
        </w:rPr>
      </w:pPr>
      <w:r>
        <w:rPr>
          <w:rFonts w:ascii="Courier New" w:cs="Courier New" w:eastAsia="Courier New" w:hAnsi="Courier New"/>
          <w:sz w:val="16"/>
          <w:szCs w:val="16"/>
          <w:color w:val="auto"/>
        </w:rPr>
        <w:t>signing singly, his/her true and lawful attorney-in-fact, in regard to ownership of securities for Unisys Corporation (the "Company"), to:</w:t>
      </w:r>
    </w:p>
    <w:p>
      <w:pPr>
        <w:spacing w:after="0" w:line="183" w:lineRule="exact"/>
        <w:rPr>
          <w:sz w:val="20"/>
          <w:szCs w:val="20"/>
          <w:color w:val="auto"/>
        </w:rPr>
      </w:pPr>
    </w:p>
    <w:p>
      <w:pPr>
        <w:ind w:right="2079" w:firstLine="2"/>
        <w:spacing w:after="0" w:line="254" w:lineRule="auto"/>
        <w:tabs>
          <w:tab w:leader="none" w:pos="4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16(a) of the Securities Exchange Act of 1934 and the rules thereunder;</w:t>
      </w:r>
    </w:p>
    <w:p>
      <w:pPr>
        <w:spacing w:after="0" w:line="185" w:lineRule="exact"/>
        <w:rPr>
          <w:rFonts w:ascii="Courier New" w:cs="Courier New" w:eastAsia="Courier New" w:hAnsi="Courier New"/>
          <w:sz w:val="16"/>
          <w:szCs w:val="16"/>
          <w:color w:val="auto"/>
        </w:rPr>
      </w:pPr>
    </w:p>
    <w:p>
      <w:pPr>
        <w:ind w:right="2179" w:firstLine="2"/>
        <w:spacing w:after="0" w:line="253" w:lineRule="auto"/>
        <w:tabs>
          <w:tab w:leader="none" w:pos="4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the execution of any such Form 3, 4 or 5 and the timely filing of such form with the United States Securities and Exchange Commission and any other authority; and</w:t>
      </w:r>
    </w:p>
    <w:p>
      <w:pPr>
        <w:spacing w:after="0" w:line="187" w:lineRule="exact"/>
        <w:rPr>
          <w:rFonts w:ascii="Courier New" w:cs="Courier New" w:eastAsia="Courier New" w:hAnsi="Courier New"/>
          <w:sz w:val="16"/>
          <w:szCs w:val="16"/>
          <w:color w:val="auto"/>
        </w:rPr>
      </w:pPr>
    </w:p>
    <w:p>
      <w:pPr>
        <w:ind w:right="2179" w:firstLine="2"/>
        <w:spacing w:after="0" w:line="252" w:lineRule="auto"/>
        <w:tabs>
          <w:tab w:leader="none" w:pos="4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191" w:lineRule="exact"/>
        <w:rPr>
          <w:sz w:val="20"/>
          <w:szCs w:val="20"/>
          <w:color w:val="auto"/>
        </w:rPr>
      </w:pPr>
    </w:p>
    <w:p>
      <w:pPr>
        <w:ind w:right="2179"/>
        <w:spacing w:after="0" w:line="252"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191" w:lineRule="exact"/>
        <w:rPr>
          <w:sz w:val="20"/>
          <w:szCs w:val="20"/>
          <w:color w:val="auto"/>
        </w:rPr>
      </w:pPr>
    </w:p>
    <w:p>
      <w:pPr>
        <w:ind w:right="2079"/>
        <w:spacing w:after="0" w:line="25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2579"/>
        <w:spacing w:after="0" w:line="257"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20th day of December, 2020.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Peter A. Altabef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A. Altabef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9359" TargetMode="External"/><Relationship Id="rId14" Type="http://schemas.openxmlformats.org/officeDocument/2006/relationships/hyperlink" Target="http://www.sec.gov/cgi-bin/browse-edgar?action=getcompany&amp;CIK=0000746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2021-03-02T14:14:23Z</dcterms:created>
  <dcterms:modified xsi:type="dcterms:W3CDTF">2021-03-02T14:14:23Z</dcterms:modified>
</cp:coreProperties>
</file>