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55880</wp:posOffset>
            </wp:positionV>
            <wp:extent cx="2014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97790</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4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291"/>
        </w:trPr>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number 1-8729</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111125</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UNISYS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73025</wp:posOffset>
            </wp:positionV>
            <wp:extent cx="2014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6" w:lineRule="exact"/>
        <w:rPr>
          <w:sz w:val="24"/>
          <w:szCs w:val="24"/>
          <w:color w:val="auto"/>
        </w:rPr>
      </w:pPr>
    </w:p>
    <w:tbl>
      <w:tblPr>
        <w:tblLayout w:type="fixed"/>
        <w:tblInd w:w="1920" w:type="dxa"/>
        <w:tblCellMar>
          <w:top w:w="0" w:type="dxa"/>
          <w:left w:w="0" w:type="dxa"/>
          <w:bottom w:w="0" w:type="dxa"/>
          <w:right w:w="0" w:type="dxa"/>
        </w:tblCellMar>
      </w:tblPr>
      <w:tr>
        <w:trPr>
          <w:trHeight w:val="229"/>
        </w:trPr>
        <w:tc>
          <w:tcPr>
            <w:tcW w:w="3900" w:type="dxa"/>
            <w:vAlign w:val="bottom"/>
          </w:tcPr>
          <w:p>
            <w:pPr>
              <w:jc w:val="center"/>
              <w:ind w:right="2102"/>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2122"/>
              <w:spacing w:after="0"/>
              <w:rPr>
                <w:sz w:val="20"/>
                <w:szCs w:val="20"/>
                <w:color w:val="auto"/>
              </w:rPr>
            </w:pPr>
            <w:r>
              <w:rPr>
                <w:rFonts w:ascii="Arial" w:cs="Arial" w:eastAsia="Arial" w:hAnsi="Arial"/>
                <w:sz w:val="18"/>
                <w:szCs w:val="18"/>
                <w:b w:val="1"/>
                <w:bCs w:val="1"/>
                <w:color w:val="auto"/>
                <w:w w:val="89"/>
              </w:rPr>
              <w:t>38-0387840</w:t>
            </w:r>
          </w:p>
        </w:tc>
      </w:tr>
      <w:tr>
        <w:trPr>
          <w:trHeight w:val="140"/>
        </w:trPr>
        <w:tc>
          <w:tcPr>
            <w:tcW w:w="3900" w:type="dxa"/>
            <w:vAlign w:val="bottom"/>
          </w:tcPr>
          <w:p>
            <w:pPr>
              <w:jc w:val="center"/>
              <w:ind w:right="2102"/>
              <w:spacing w:after="0" w:line="141" w:lineRule="exact"/>
              <w:rPr>
                <w:sz w:val="20"/>
                <w:szCs w:val="20"/>
                <w:color w:val="auto"/>
              </w:rPr>
            </w:pPr>
            <w:r>
              <w:rPr>
                <w:rFonts w:ascii="Arial" w:cs="Arial" w:eastAsia="Arial" w:hAnsi="Arial"/>
                <w:sz w:val="14"/>
                <w:szCs w:val="14"/>
                <w:color w:val="auto"/>
                <w:w w:val="95"/>
              </w:rPr>
              <w:t>(State or other jurisdiction of</w:t>
            </w:r>
          </w:p>
        </w:tc>
        <w:tc>
          <w:tcPr>
            <w:tcW w:w="3260" w:type="dxa"/>
            <w:vAlign w:val="bottom"/>
          </w:tcPr>
          <w:p>
            <w:pPr>
              <w:jc w:val="center"/>
              <w:ind w:left="2122"/>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3900" w:type="dxa"/>
            <w:vAlign w:val="bottom"/>
          </w:tcPr>
          <w:p>
            <w:pPr>
              <w:jc w:val="center"/>
              <w:ind w:right="2102"/>
              <w:spacing w:after="0"/>
              <w:rPr>
                <w:sz w:val="20"/>
                <w:szCs w:val="20"/>
                <w:color w:val="auto"/>
              </w:rPr>
            </w:pPr>
            <w:r>
              <w:rPr>
                <w:rFonts w:ascii="Arial" w:cs="Arial" w:eastAsia="Arial" w:hAnsi="Arial"/>
                <w:sz w:val="14"/>
                <w:szCs w:val="14"/>
                <w:color w:val="auto"/>
                <w:w w:val="94"/>
              </w:rPr>
              <w:t>incorporation or organization)</w:t>
            </w:r>
          </w:p>
        </w:tc>
        <w:tc>
          <w:tcPr>
            <w:tcW w:w="3260" w:type="dxa"/>
            <w:vAlign w:val="bottom"/>
          </w:tcPr>
          <w:p>
            <w:pPr>
              <w:jc w:val="center"/>
              <w:ind w:left="2122"/>
              <w:spacing w:after="0"/>
              <w:rPr>
                <w:sz w:val="20"/>
                <w:szCs w:val="20"/>
                <w:color w:val="auto"/>
              </w:rPr>
            </w:pPr>
            <w:r>
              <w:rPr>
                <w:rFonts w:ascii="Arial" w:cs="Arial" w:eastAsia="Arial" w:hAnsi="Arial"/>
                <w:sz w:val="14"/>
                <w:szCs w:val="14"/>
                <w:color w:val="auto"/>
                <w:w w:val="97"/>
              </w:rPr>
              <w:t>Identification No.)</w:t>
            </w:r>
          </w:p>
        </w:tc>
      </w:tr>
    </w:tbl>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Lakeview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Blue Bell, Pennsylvania 19422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(215) 986-4011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107950</wp:posOffset>
            </wp:positionV>
            <wp:extent cx="2014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12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Trading</w:t>
            </w:r>
          </w:p>
        </w:tc>
        <w:tc>
          <w:tcPr>
            <w:tcW w:w="6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68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UIS</w:t>
            </w:r>
          </w:p>
        </w:tc>
        <w:tc>
          <w:tcPr>
            <w:tcW w:w="6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80" w:type="dxa"/>
            <w:vAlign w:val="bottom"/>
          </w:tcPr>
          <w:p>
            <w:pPr>
              <w:ind w:left="23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6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right="1320" w:hanging="39"/>
        <w:spacing w:after="0" w:line="294"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June 30, 2022: 67,786,237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2260" w:type="dxa"/>
            <w:vAlign w:val="bottom"/>
            <w:gridSpan w:val="6"/>
          </w:tcPr>
          <w:p>
            <w:pPr>
              <w:jc w:val="center"/>
              <w:ind w:left="123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60" w:type="dxa"/>
            <w:vAlign w:val="bottom"/>
            <w:gridSpan w:val="2"/>
            <w:vMerge w:val="continue"/>
          </w:tcPr>
          <w:p>
            <w:pPr>
              <w:spacing w:after="0"/>
              <w:rPr>
                <w:sz w:val="19"/>
                <w:szCs w:val="19"/>
                <w:color w:val="auto"/>
              </w:rPr>
            </w:pPr>
          </w:p>
        </w:tc>
        <w:tc>
          <w:tcPr>
            <w:tcW w:w="2260" w:type="dxa"/>
            <w:vAlign w:val="bottom"/>
            <w:gridSpan w:val="6"/>
          </w:tcPr>
          <w:p>
            <w:pPr>
              <w:jc w:val="center"/>
              <w:ind w:left="121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Financial Statements (Unaudited)</w:t>
            </w:r>
          </w:p>
        </w:tc>
        <w:tc>
          <w:tcPr>
            <w:tcW w:w="1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Arial" w:cs="Arial" w:eastAsia="Arial" w:hAnsi="Arial"/>
                <w:sz w:val="18"/>
                <w:szCs w:val="18"/>
                <w:color w:val="auto"/>
              </w:rPr>
              <w:t>Consolidated Statements of Income (Loss)</w:t>
            </w:r>
          </w:p>
        </w:tc>
        <w:tc>
          <w:tcPr>
            <w:tcW w:w="1880" w:type="dxa"/>
            <w:vAlign w:val="bottom"/>
            <w:gridSpan w:val="4"/>
          </w:tcPr>
          <w:p>
            <w:pPr>
              <w:jc w:val="center"/>
              <w:ind w:left="161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 Statements of Comprehensive Income (Loss)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Arial" w:cs="Arial" w:eastAsia="Arial" w:hAnsi="Arial"/>
                <w:sz w:val="18"/>
                <w:szCs w:val="18"/>
                <w:color w:val="auto"/>
              </w:rPr>
              <w:t>Consolidated Balance Sheets</w:t>
            </w:r>
          </w:p>
        </w:tc>
        <w:tc>
          <w:tcPr>
            <w:tcW w:w="1880" w:type="dxa"/>
            <w:vAlign w:val="bottom"/>
            <w:gridSpan w:val="4"/>
          </w:tcPr>
          <w:p>
            <w:pPr>
              <w:jc w:val="center"/>
              <w:ind w:left="161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8"/>
                <w:szCs w:val="18"/>
                <w:color w:val="auto"/>
              </w:rPr>
              <w:t>Consolidated Statements of Cash Flows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Arial" w:cs="Arial" w:eastAsia="Arial" w:hAnsi="Arial"/>
                <w:sz w:val="18"/>
                <w:szCs w:val="18"/>
                <w:color w:val="auto"/>
              </w:rPr>
              <w:t>Consolidated Statements of Deficit</w:t>
            </w:r>
          </w:p>
        </w:tc>
        <w:tc>
          <w:tcPr>
            <w:tcW w:w="1880" w:type="dxa"/>
            <w:vAlign w:val="bottom"/>
            <w:gridSpan w:val="4"/>
          </w:tcPr>
          <w:p>
            <w:pPr>
              <w:jc w:val="center"/>
              <w:ind w:left="161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7940" w:type="dxa"/>
            <w:vAlign w:val="bottom"/>
          </w:tcPr>
          <w:p>
            <w:pPr>
              <w:ind w:left="2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40" w:type="dxa"/>
            <w:vAlign w:val="bottom"/>
            <w:gridSpan w:val="5"/>
          </w:tcPr>
          <w:p>
            <w:pPr>
              <w:jc w:val="center"/>
              <w:ind w:left="125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7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240" w:type="dxa"/>
            <w:vAlign w:val="bottom"/>
            <w:gridSpan w:val="5"/>
            <w:shd w:val="clear" w:color="auto" w:fill="CCEEFF"/>
          </w:tcPr>
          <w:p>
            <w:pPr>
              <w:jc w:val="center"/>
              <w:ind w:left="1250"/>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7940" w:type="dxa"/>
            <w:vAlign w:val="bottom"/>
          </w:tcPr>
          <w:p>
            <w:pPr>
              <w:ind w:left="20"/>
              <w:spacing w:after="0" w:line="189" w:lineRule="exact"/>
              <w:rPr>
                <w:sz w:val="20"/>
                <w:szCs w:val="20"/>
                <w:color w:val="auto"/>
              </w:rPr>
            </w:pPr>
            <w:r>
              <w:rPr>
                <w:rFonts w:ascii="Arial" w:cs="Arial" w:eastAsia="Arial" w:hAnsi="Arial"/>
                <w:sz w:val="18"/>
                <w:szCs w:val="18"/>
                <w:color w:val="auto"/>
              </w:rPr>
              <w:t>Controls and Procedures</w:t>
            </w:r>
          </w:p>
        </w:tc>
        <w:tc>
          <w:tcPr>
            <w:tcW w:w="2240" w:type="dxa"/>
            <w:vAlign w:val="bottom"/>
            <w:gridSpan w:val="5"/>
          </w:tcPr>
          <w:p>
            <w:pPr>
              <w:jc w:val="center"/>
              <w:ind w:left="1250"/>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17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20"/>
              <w:spacing w:after="0" w:line="182" w:lineRule="exact"/>
              <w:rPr>
                <w:sz w:val="20"/>
                <w:szCs w:val="20"/>
                <w:color w:val="auto"/>
              </w:rPr>
            </w:pPr>
            <w:r>
              <w:rPr>
                <w:rFonts w:ascii="Arial" w:cs="Arial" w:eastAsia="Arial" w:hAnsi="Arial"/>
                <w:sz w:val="18"/>
                <w:szCs w:val="18"/>
                <w:color w:val="auto"/>
              </w:rPr>
              <w:t>Legal Proceedings</w:t>
            </w:r>
          </w:p>
        </w:tc>
        <w:tc>
          <w:tcPr>
            <w:tcW w:w="2240" w:type="dxa"/>
            <w:vAlign w:val="bottom"/>
            <w:gridSpan w:val="5"/>
          </w:tcPr>
          <w:p>
            <w:pPr>
              <w:jc w:val="center"/>
              <w:ind w:left="1250"/>
              <w:spacing w:after="0" w:line="182"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7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Risk Factors</w:t>
            </w:r>
          </w:p>
        </w:tc>
        <w:tc>
          <w:tcPr>
            <w:tcW w:w="2240" w:type="dxa"/>
            <w:vAlign w:val="bottom"/>
            <w:gridSpan w:val="5"/>
            <w:shd w:val="clear" w:color="auto" w:fill="CCEEFF"/>
          </w:tcPr>
          <w:p>
            <w:pPr>
              <w:jc w:val="center"/>
              <w:ind w:left="125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7940" w:type="dxa"/>
            <w:vAlign w:val="bottom"/>
          </w:tcPr>
          <w:p>
            <w:pPr>
              <w:ind w:left="20"/>
              <w:spacing w:after="0" w:line="189" w:lineRule="exact"/>
              <w:rPr>
                <w:sz w:val="20"/>
                <w:szCs w:val="20"/>
                <w:color w:val="auto"/>
              </w:rPr>
            </w:pPr>
            <w:r>
              <w:rPr>
                <w:rFonts w:ascii="Arial" w:cs="Arial" w:eastAsia="Arial" w:hAnsi="Arial"/>
                <w:sz w:val="18"/>
                <w:szCs w:val="18"/>
                <w:color w:val="auto"/>
              </w:rPr>
              <w:t>Exhibits</w:t>
            </w:r>
          </w:p>
        </w:tc>
        <w:tc>
          <w:tcPr>
            <w:tcW w:w="2240" w:type="dxa"/>
            <w:vAlign w:val="bottom"/>
            <w:gridSpan w:val="5"/>
          </w:tcPr>
          <w:p>
            <w:pPr>
              <w:jc w:val="center"/>
              <w:ind w:left="125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Arial" w:cs="Arial" w:eastAsia="Arial" w:hAnsi="Arial"/>
                <w:sz w:val="18"/>
                <w:szCs w:val="18"/>
                <w:color w:val="auto"/>
                <w:w w:val="95"/>
              </w:rPr>
              <w:t>Exhibit Index</w:t>
            </w:r>
          </w:p>
        </w:tc>
        <w:tc>
          <w:tcPr>
            <w:tcW w:w="7940" w:type="dxa"/>
            <w:vAlign w:val="bottom"/>
          </w:tcPr>
          <w:p>
            <w:pPr>
              <w:spacing w:after="0"/>
              <w:rPr>
                <w:sz w:val="16"/>
                <w:szCs w:val="16"/>
                <w:color w:val="auto"/>
              </w:rPr>
            </w:pPr>
          </w:p>
        </w:tc>
        <w:tc>
          <w:tcPr>
            <w:tcW w:w="2240" w:type="dxa"/>
            <w:vAlign w:val="bottom"/>
            <w:gridSpan w:val="5"/>
          </w:tcPr>
          <w:p>
            <w:pPr>
              <w:jc w:val="center"/>
              <w:ind w:left="125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Signatures</w:t>
            </w:r>
          </w:p>
        </w:tc>
        <w:tc>
          <w:tcPr>
            <w:tcW w:w="79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center"/>
              <w:ind w:left="1250"/>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0"/>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794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Part I - FINANCIAL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 (LOSS) (Unaudited)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 except per share data)</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30"/>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850.9</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23"/>
        </w:trPr>
        <w:tc>
          <w:tcPr>
            <w:tcW w:w="6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1,027.1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Technology</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23"/>
        </w:trPr>
        <w:tc>
          <w:tcPr>
            <w:tcW w:w="6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Unisys Corporation</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per share attributable to Unisys Corporation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CONSOLIDATED STATEMENTS OF COMPREHENSIVE INCOME (LOSS) (Unaudited)</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(Millions)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7"/>
                <w:szCs w:val="17"/>
                <w:color w:val="auto"/>
              </w:rPr>
            </w:pPr>
          </w:p>
        </w:tc>
        <w:tc>
          <w:tcPr>
            <w:tcW w:w="1880" w:type="dxa"/>
            <w:vAlign w:val="bottom"/>
            <w:gridSpan w:val="4"/>
          </w:tcPr>
          <w:p>
            <w:pPr>
              <w:jc w:val="right"/>
              <w:ind w:right="2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w w:val="98"/>
              </w:rPr>
              <w:t>Postretirement adjustments, net of tax of $14.1 and $20.8 in 2022 and $34.7 and</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$37.8 in 2021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Unisys Corporation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11" w:right="6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 (Unaudited)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Properties</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Less-accumulated depreciation and amortization</w:t>
            </w:r>
          </w:p>
        </w:tc>
        <w:tc>
          <w:tcPr>
            <w:tcW w:w="3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net</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Outsourcing assets, net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software, net</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postretirement assets</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Assets held-for-sale</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2,419.5</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deficit</w:t>
            </w: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long-term-debt</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accrued liabilities</w:t>
            </w:r>
          </w:p>
        </w:tc>
        <w:tc>
          <w:tcPr>
            <w:tcW w:w="3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postretirement liabilities</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Long-term deferred revenue</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15)</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Deficit: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shares issued: 2022; 73.3, 2021; 72.5</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shares at cost: 2022; 5.5, 2021; 5.3</w:t>
            </w:r>
          </w:p>
        </w:tc>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4,710.9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(3,264.1)</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Unisys Corporation stockholders’ deficit</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deficit</w:t>
            </w:r>
          </w:p>
        </w:tc>
        <w:tc>
          <w:tcPr>
            <w:tcW w:w="3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3560" w:type="dxa"/>
            <w:vAlign w:val="bottom"/>
            <w:tcBorders>
              <w:top w:val="single" w:sz="8" w:color="CCEEFF"/>
              <w:bottom w:val="single" w:sz="8" w:color="CCEEFF"/>
            </w:tcBorders>
            <w:vMerge w:val="restart"/>
          </w:tcPr>
          <w:p>
            <w:pPr>
              <w:jc w:val="right"/>
              <w:ind w:right="265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40" w:type="dxa"/>
            <w:vAlign w:val="bottom"/>
            <w:vMerge w:val="continue"/>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8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 (Unaudited)</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(Millions)</w:t>
      </w:r>
    </w:p>
    <w:p>
      <w:pPr>
        <w:spacing w:after="0" w:line="136" w:lineRule="exact"/>
        <w:rPr>
          <w:sz w:val="20"/>
          <w:szCs w:val="20"/>
          <w:color w:val="auto"/>
        </w:rPr>
      </w:pPr>
    </w:p>
    <w:p>
      <w:pPr>
        <w:jc w:val="center"/>
        <w:ind w:left="8980"/>
        <w:spacing w:after="0"/>
        <w:rPr>
          <w:sz w:val="20"/>
          <w:szCs w:val="20"/>
          <w:color w:val="auto"/>
        </w:rPr>
      </w:pPr>
      <w:r>
        <w:rPr>
          <w:rFonts w:ascii="Arial" w:cs="Arial" w:eastAsia="Arial" w:hAnsi="Arial"/>
          <w:sz w:val="18"/>
          <w:szCs w:val="18"/>
          <w:color w:val="auto"/>
        </w:rPr>
        <w:t>Six Months Ended</w:t>
      </w:r>
    </w:p>
    <w:p>
      <w:pPr>
        <w:jc w:val="center"/>
        <w:ind w:left="898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1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consolidated net loss to net cash used for operating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Foreign currency losses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Employee stock compensation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properties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Depreciation and amortization of outsourcing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marketable software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operating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Loss on disposal of capital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Postretirement contributions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Postretirement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394.7</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excluding the effect of acquisitions: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 net and contract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30"/>
        </w:trPr>
        <w:tc>
          <w:tcPr>
            <w:tcW w:w="90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020" w:type="dxa"/>
            <w:vAlign w:val="bottom"/>
          </w:tcPr>
          <w:p>
            <w:pPr>
              <w:ind w:left="480"/>
              <w:spacing w:after="0"/>
              <w:rPr>
                <w:sz w:val="20"/>
                <w:szCs w:val="20"/>
                <w:color w:val="auto"/>
              </w:rPr>
            </w:pPr>
            <w:r>
              <w:rPr>
                <w:rFonts w:ascii="Arial" w:cs="Arial" w:eastAsia="Arial" w:hAnsi="Arial"/>
                <w:sz w:val="18"/>
                <w:szCs w:val="18"/>
                <w:color w:val="auto"/>
              </w:rPr>
              <w:t>Accounts payable and current liabilities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(207.2)</w:t>
            </w:r>
          </w:p>
        </w:tc>
      </w:tr>
      <w:tr>
        <w:trPr>
          <w:trHeight w:val="229"/>
        </w:trPr>
        <w:tc>
          <w:tcPr>
            <w:tcW w:w="9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operating activities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Purchase of businesses, net of cash acquired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investments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(2,262.4)</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marketable software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Capital additions of properties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additions of outsourcing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09"/>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DEFICIT (Unaudited)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rPr>
              <w:t>Unisys Corporation</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Accumu-</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Non-</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Unisys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Accumu-</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lated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88"/>
              </w:rPr>
              <w:t>Stock Par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Stock At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Compre-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controlling</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4"/>
              </w:rPr>
              <w:t>Value</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lated Deficit</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Cost</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0"/>
              </w:rPr>
              <w:t>hensive Loss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4,710.9</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(3,264.1)</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Consolidated net (loss)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Stock-based activity</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Postretirement plans</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480" w:type="dxa"/>
            <w:vAlign w:val="bottom"/>
          </w:tcPr>
          <w:p>
            <w:pPr>
              <w:ind w:left="120"/>
              <w:spacing w:after="0"/>
              <w:rPr>
                <w:sz w:val="20"/>
                <w:szCs w:val="20"/>
                <w:color w:val="auto"/>
              </w:rPr>
            </w:pPr>
            <w:r>
              <w:rPr>
                <w:rFonts w:ascii="Arial" w:cs="Arial" w:eastAsia="Arial" w:hAnsi="Arial"/>
                <w:sz w:val="14"/>
                <w:szCs w:val="14"/>
                <w:b w:val="1"/>
                <w:bCs w:val="1"/>
                <w:color w:val="auto"/>
              </w:rPr>
              <w:t>Balance at March 31, 2022</w:t>
            </w: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4,716.6</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Consolidated net income (loss)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Stock-based activity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Postretirement plans</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at June 30, 2022</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4,721.9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color w:val="auto"/>
              </w:rPr>
              <w:t>Unisys Corporation</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7"/>
              </w:rPr>
              <w:t>Accumu-</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2"/>
              </w:rPr>
              <w:t>Non-</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Total Unisys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Accumu-</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Arial" w:cs="Arial" w:eastAsia="Arial" w:hAnsi="Arial"/>
                <w:sz w:val="14"/>
                <w:szCs w:val="14"/>
                <w:color w:val="auto"/>
                <w:w w:val="92"/>
              </w:rPr>
              <w:t>lated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88"/>
              </w:rPr>
              <w:t>Stock Par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 At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5"/>
              </w:rPr>
              <w:t>Compre-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rPr>
              <w:t>controlling</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Corporation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color w:val="auto"/>
                <w:w w:val="98"/>
              </w:rPr>
              <w:t>lated 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Cost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w w:val="97"/>
              </w:rPr>
              <w:t>hensive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(960.5)</w:t>
            </w: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4,656.9</w:t>
            </w: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(3,939.5)</w:t>
            </w: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Consolidated net (loss)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Capped call on conversion of notes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Stock-based activity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Translation adjustments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Postretirement plans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 at March 31, 2021</w:t>
            </w: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4,693.1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(3,755.2)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Consolidated net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activity</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Translation 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Postretirement plans</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Balance at June 30, 2021</w:t>
            </w: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UNISYS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millions, except share and per share amounts)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Presentation</w:t>
      </w:r>
    </w:p>
    <w:p>
      <w:pPr>
        <w:spacing w:after="0" w:line="11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accompanying consolidated financial statements and footnotes of Unisys Corporation have been prepared in accordance with generally accepted accounting principles in the United States of America (GAAP). The financial statements and footnotes are unaudited. In the opinion of management, the financial information furnished herein reflects all adjustments necessary for a fair statement of the results of operations, comprehensive income (loss), financial position, cash flows and deficit for the interim periods specified. These adjustments consist only of normal recurring accruals except as disclosed herein. Because of seasonal and other factors, results for interim periods are not necessarily indicative of the results to be expected for the full year.</w:t>
      </w:r>
    </w:p>
    <w:p>
      <w:pPr>
        <w:spacing w:after="0" w:line="5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will be reflected in the financial statements in future periods.</w:t>
      </w:r>
    </w:p>
    <w:p>
      <w:pPr>
        <w:spacing w:after="0" w:line="7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accounting policies are set forth in detail in Note 1 of the Notes to Consolidated Financial Statements in the company’s Annual Report on Form 10-K for the year ended December 31, 2021 filed with the Securities and Exchange Commission.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17"/>
          <w:szCs w:val="17"/>
          <w:color w:val="auto"/>
        </w:rPr>
        <w:t>-</w:t>
      </w:r>
      <w:r>
        <w:rPr>
          <w:rFonts w:ascii="Arial" w:cs="Arial" w:eastAsia="Arial" w:hAnsi="Arial"/>
          <w:sz w:val="22"/>
          <w:szCs w:val="22"/>
          <w:b w:val="1"/>
          <w:bCs w:val="1"/>
          <w:color w:val="auto"/>
        </w:rPr>
        <w:t xml:space="preserve"> Accounting Standards</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Effective January 1, 2022, the company adopted Accounting Standards Update (ASU) No. 2021-08, Accounting for Contract Assets and Contract Liabilities from Contracts with Customers. This guidance requires that an acquirer recognize and measure contract assets and contract liabilities acquired in a business combination in accordance with ASC 606, Revenue from Contracts with Customers, as if it had originated the contracts. Deferred revenue acquired in a business combination is no longer required to be measured at its fair value, which had historically resulted in a deferred revenue impairment at the date of acquisition. The company will adopt this guidance for acquisitions completed on or after January 1, 2022.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Acquisitions</w:t>
      </w:r>
    </w:p>
    <w:p>
      <w:pPr>
        <w:spacing w:after="0" w:line="1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December 14, 2021, the company acquired 100% of CompuGain LLC (CompuGain), a leading cloud solutions provider, for a purchase price consideration of $85.3 million on a cash-free, debt-free basis. The company funded the cash consideration and acquisition-related costs with cash on hand.</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acquisition enhanced the company’s delivery of rapid and agile cloud migration, application modernization and data value realization to our clients.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200" w:type="dxa"/>
            <w:vAlign w:val="bottom"/>
          </w:tcPr>
          <w:p>
            <w:pPr>
              <w:spacing w:after="0"/>
              <w:rPr>
                <w:sz w:val="20"/>
                <w:szCs w:val="20"/>
                <w:color w:val="auto"/>
              </w:rPr>
            </w:pPr>
            <w:r>
              <w:rPr>
                <w:rFonts w:ascii="Arial" w:cs="Arial" w:eastAsia="Arial" w:hAnsi="Arial"/>
                <w:sz w:val="18"/>
                <w:szCs w:val="18"/>
                <w:color w:val="auto"/>
              </w:rPr>
              <w:t>The fair values of the total net assets acquired was as follows:</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2"/>
        </w:trPr>
        <w:tc>
          <w:tcPr>
            <w:tcW w:w="10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and other long-term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102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accruals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102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10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48"/>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0"/>
        </w:trPr>
        <w:tc>
          <w:tcPr>
            <w:tcW w:w="10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three months ended June 30, 2022, the company finalized its valuation of assets acquired and liabilities assumed resulting in measurement period adjustments that decreased goodwill by $27.5 million primarily related to an increase of $27.6 million in the fair value of the acquired intangible assets.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Goodwill is the excess of the purchase price consideration over the fair value of the underlying intangible assets and net liabilities assumed. The goodwill represents expected synergies, intellectual capital and the acquired assembled workforce, none of which qualify for recognition as a separate intangible asset. Goodwill determined by the allocation of the purchase price was recorded in the company’s Cloud, Applications and Infrastructure Solutions segment and is deductible for tax purposes.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intangible assets acquired and the related weighted average amortization period: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 Average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120" w:type="dxa"/>
            <w:vAlign w:val="bottom"/>
          </w:tcPr>
          <w:p>
            <w:pPr>
              <w:spacing w:after="0"/>
              <w:rPr>
                <w:sz w:val="15"/>
                <w:szCs w:val="15"/>
                <w:color w:val="auto"/>
              </w:rPr>
            </w:pPr>
          </w:p>
        </w:tc>
        <w:tc>
          <w:tcPr>
            <w:tcW w:w="20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Amortization Period in</w:t>
            </w:r>
          </w:p>
        </w:tc>
        <w:tc>
          <w:tcPr>
            <w:tcW w:w="12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29"/>
        </w:trPr>
        <w:tc>
          <w:tcPr>
            <w:tcW w:w="812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Years</w:t>
            </w: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w:t>
            </w:r>
          </w:p>
        </w:tc>
        <w:tc>
          <w:tcPr>
            <w:tcW w:w="1980" w:type="dxa"/>
            <w:vAlign w:val="bottom"/>
            <w:tcBorders>
              <w:bottom w:val="single" w:sz="8" w:color="CCEEFF"/>
            </w:tcBorders>
          </w:tcPr>
          <w:p>
            <w:pPr>
              <w:jc w:val="right"/>
              <w:ind w:right="79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company’s consolidated financial statements include the results of CompuGain commencing as of the acquisition date. Revenue and earnings for CompuGain have not been presented as the impact is not material to the company’s consolidated financial statements.</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six months ended June 30, 2022, the company incurred and expensed acquisition-related costs of $0.4 million, Acquisition-related costs are included within selling, general and administrative expenses on the consolidated statements of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Cost-Reduction Actions</w:t>
      </w:r>
    </w:p>
    <w:p>
      <w:pPr>
        <w:spacing w:after="0" w:line="1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months ended June 30, 2022, the company recognized net cost-reduction charges and other costs of $3.1 million. The credit related to work-force reductions was $0.3 million for changes in estimates. In addition, the company recorded charges of $3.4 million comprised of a charge of $1.8 million for net foreign currency losses related to exiting foreign countries, a charge of $0.9 million for asset impairments and a charge of $0.7 million for other expenses related to cost-reduction efforts.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June 30, 2021, the company recognized net cost-reduction charges and other costs of $5.1 million. The net credits related to work-force reductions were $0.3 million, principally related to severance costs, and were comprised of: (a) a charge of $2.9 million and (b) a credit of $3.2 million for changes in estimates. In addition, the company recorded net charges of $5.4 million comprised of a credit of $0.7 million for net foreign currency gains related to exiting foreign countries, a charge of $4.4 million for asset impairments and a charge of $1.7 million for other expenses related to cost-reduction efforts.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2022, the company recognized net cost-reduction charges and other costs of $6.1 million. The credit related to work-force reductions was $0.9 million for changes in estimates. In addition, the company recorded net charges of $7.0 million comprised of a charge of $2.9 million for net foreign currency losses related to exiting foreign countries, a charge of $4.7 million for asset impairments and a credit of $0.6 million for changes in estimates related to cost-reduction efforts.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 w:name="page10"/>
    <w:bookmarkEnd w:id="9"/>
    <w:p>
      <w:pPr>
        <w:ind w:right="80"/>
        <w:spacing w:after="0" w:line="301" w:lineRule="auto"/>
        <w:rPr>
          <w:sz w:val="20"/>
          <w:szCs w:val="20"/>
          <w:color w:val="auto"/>
        </w:rPr>
      </w:pPr>
      <w:r>
        <w:rPr>
          <w:rFonts w:ascii="Arial" w:cs="Arial" w:eastAsia="Arial" w:hAnsi="Arial"/>
          <w:sz w:val="16"/>
          <w:szCs w:val="16"/>
          <w:color w:val="auto"/>
        </w:rPr>
        <w:t>During the six months ended June 30, 2021, the company recognized net cost-reduction charges and other costs of $13.6 million. The net credits related to work-force reductions were $1.9 million, principally related to severance costs, and were comprised of: (a) a charge of $5.8 million and (b) a credit of $7.7 million for changes in estimates. In addition, the company recorded charges of $15.5 million comprised of $1.6 million for net foreign currency losses related to exiting foreign countries, $6.8 million for asset impairments and $7.1 million for other expenses related to cost-reduction efforts.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charges (credits) were recorded in the following statement of income (loss) classifications: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6"/>
                <w:szCs w:val="16"/>
                <w:color w:val="auto"/>
              </w:rPr>
              <w:t>Three Months Ended June 30,</w:t>
            </w:r>
          </w:p>
        </w:tc>
        <w:tc>
          <w:tcPr>
            <w:tcW w:w="100" w:type="dxa"/>
            <w:vAlign w:val="bottom"/>
          </w:tcPr>
          <w:p>
            <w:pPr>
              <w:spacing w:after="0"/>
              <w:rPr>
                <w:sz w:val="18"/>
                <w:szCs w:val="18"/>
                <w:color w:val="auto"/>
              </w:rPr>
            </w:pPr>
          </w:p>
        </w:tc>
        <w:tc>
          <w:tcPr>
            <w:tcW w:w="1920" w:type="dxa"/>
            <w:vAlign w:val="bottom"/>
            <w:gridSpan w:val="8"/>
          </w:tcPr>
          <w:p>
            <w:pPr>
              <w:ind w:left="20"/>
              <w:spacing w:after="0"/>
              <w:rPr>
                <w:sz w:val="20"/>
                <w:szCs w:val="20"/>
                <w:color w:val="auto"/>
              </w:rPr>
            </w:pPr>
            <w:r>
              <w:rPr>
                <w:rFonts w:ascii="Arial" w:cs="Arial" w:eastAsia="Arial" w:hAnsi="Arial"/>
                <w:sz w:val="16"/>
                <w:szCs w:val="16"/>
                <w:color w:val="auto"/>
                <w:w w:val="96"/>
              </w:rPr>
              <w:t>Six Months Ended June 30,</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87"/>
              </w:rPr>
              <w:t>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87"/>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center"/>
              <w:ind w:left="391"/>
              <w:spacing w:after="0"/>
              <w:rPr>
                <w:sz w:val="20"/>
                <w:szCs w:val="20"/>
                <w:color w:val="auto"/>
              </w:rPr>
            </w:pPr>
            <w:r>
              <w:rPr>
                <w:rFonts w:ascii="Arial" w:cs="Arial" w:eastAsia="Arial" w:hAnsi="Arial"/>
                <w:sz w:val="18"/>
                <w:szCs w:val="18"/>
                <w:color w:val="auto"/>
                <w:w w:val="91"/>
              </w:rPr>
              <w:t>(0.2)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center"/>
              <w:ind w:left="391"/>
              <w:spacing w:after="0"/>
              <w:rPr>
                <w:sz w:val="20"/>
                <w:szCs w:val="20"/>
                <w:color w:val="auto"/>
              </w:rPr>
            </w:pPr>
            <w:r>
              <w:rPr>
                <w:rFonts w:ascii="Arial" w:cs="Arial" w:eastAsia="Arial" w:hAnsi="Arial"/>
                <w:sz w:val="18"/>
                <w:szCs w:val="18"/>
                <w:color w:val="auto"/>
                <w:w w:val="91"/>
              </w:rPr>
              <w:t>(0.1)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4"/>
          </w:tcPr>
          <w:p>
            <w:pPr>
              <w:jc w:val="center"/>
              <w:ind w:left="571"/>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color w:val="auto"/>
                <w:w w:val="87"/>
              </w:rPr>
              <w:t>2.9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87"/>
              </w:rPr>
              <w:t>6.1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60" w:type="dxa"/>
            <w:vAlign w:val="bottom"/>
            <w:gridSpan w:val="6"/>
          </w:tcPr>
          <w:p>
            <w:pPr>
              <w:spacing w:after="0"/>
              <w:rPr>
                <w:sz w:val="20"/>
                <w:szCs w:val="20"/>
                <w:color w:val="auto"/>
              </w:rPr>
            </w:pPr>
            <w:r>
              <w:rPr>
                <w:rFonts w:ascii="Arial" w:cs="Arial" w:eastAsia="Arial" w:hAnsi="Arial"/>
                <w:sz w:val="18"/>
                <w:szCs w:val="18"/>
                <w:color w:val="auto"/>
                <w:w w:val="92"/>
              </w:rPr>
              <w:t>Liabilities and expected future payments related to the company’s work-force reduction actions are as follows: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color w:val="auto"/>
              </w:rPr>
              <w:t>U.S.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6"/>
                <w:szCs w:val="16"/>
                <w:color w:val="auto"/>
                <w:w w:val="93"/>
              </w:rPr>
              <w:t>International</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Payments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Expected future utilization on balance at June 30, 2022:</w:t>
            </w: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500"/>
        </w:trPr>
        <w:tc>
          <w:tcPr>
            <w:tcW w:w="4800" w:type="dxa"/>
            <w:vAlign w:val="bottom"/>
          </w:tcPr>
          <w:p>
            <w:pPr>
              <w:spacing w:after="0"/>
              <w:rPr>
                <w:sz w:val="24"/>
                <w:szCs w:val="24"/>
                <w:color w:val="auto"/>
              </w:rPr>
            </w:pPr>
          </w:p>
        </w:tc>
        <w:tc>
          <w:tcPr>
            <w:tcW w:w="2120" w:type="dxa"/>
            <w:vAlign w:val="bottom"/>
          </w:tcPr>
          <w:p>
            <w:pPr>
              <w:jc w:val="right"/>
              <w:ind w:right="11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Note 5 - Pension and Postretirement Benefits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w w:val="95"/>
              </w:rPr>
              <w:t>Net periodic pension expense (income) is presented below:</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6"/>
          </w:tcPr>
          <w:p>
            <w:pPr>
              <w:jc w:val="center"/>
              <w:ind w:left="572"/>
              <w:spacing w:after="0"/>
              <w:rPr>
                <w:sz w:val="20"/>
                <w:szCs w:val="20"/>
                <w:color w:val="auto"/>
              </w:rPr>
            </w:pPr>
            <w:r>
              <w:rPr>
                <w:rFonts w:ascii="Arial" w:cs="Arial" w:eastAsia="Arial" w:hAnsi="Arial"/>
                <w:sz w:val="18"/>
                <w:szCs w:val="18"/>
                <w:color w:val="auto"/>
                <w:w w:val="90"/>
              </w:rPr>
              <w:t>Three Months Ended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6"/>
          </w:tcPr>
          <w:p>
            <w:pPr>
              <w:jc w:val="center"/>
              <w:ind w:left="572"/>
              <w:spacing w:after="0"/>
              <w:rPr>
                <w:sz w:val="20"/>
                <w:szCs w:val="20"/>
                <w:color w:val="auto"/>
              </w:rPr>
            </w:pPr>
            <w:r>
              <w:rPr>
                <w:rFonts w:ascii="Arial" w:cs="Arial" w:eastAsia="Arial" w:hAnsi="Arial"/>
                <w:sz w:val="18"/>
                <w:szCs w:val="18"/>
                <w:color w:val="auto"/>
                <w:w w:val="90"/>
              </w:rPr>
              <w:t>Three Months Ended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June 30, 2022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7"/>
              </w:rPr>
              <w:t>June 30, 2021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5"/>
              </w:rPr>
              <w:t>U.S.</w:t>
            </w:r>
          </w:p>
        </w:tc>
        <w:tc>
          <w:tcPr>
            <w:tcW w:w="160" w:type="dxa"/>
            <w:vAlign w:val="bottom"/>
          </w:tcPr>
          <w:p>
            <w:pPr>
              <w:spacing w:after="0"/>
              <w:rPr>
                <w:sz w:val="11"/>
                <w:szCs w:val="11"/>
                <w:color w:val="auto"/>
              </w:rPr>
            </w:pPr>
          </w:p>
        </w:tc>
        <w:tc>
          <w:tcPr>
            <w:tcW w:w="880" w:type="dxa"/>
            <w:vAlign w:val="bottom"/>
          </w:tcPr>
          <w:p>
            <w:pPr>
              <w:jc w:val="center"/>
              <w:ind w:right="54"/>
              <w:spacing w:after="0" w:line="129" w:lineRule="exact"/>
              <w:rPr>
                <w:sz w:val="20"/>
                <w:szCs w:val="20"/>
                <w:color w:val="auto"/>
              </w:rPr>
            </w:pPr>
            <w:r>
              <w:rPr>
                <w:rFonts w:ascii="Arial" w:cs="Arial" w:eastAsia="Arial" w:hAnsi="Arial"/>
                <w:sz w:val="14"/>
                <w:szCs w:val="14"/>
                <w:color w:val="auto"/>
                <w:w w:val="95"/>
              </w:rPr>
              <w:t>International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1"/>
                <w:szCs w:val="11"/>
                <w:color w:val="auto"/>
              </w:rPr>
            </w:pP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87"/>
              </w:rPr>
              <w:t>U.S.</w:t>
            </w:r>
          </w:p>
        </w:tc>
        <w:tc>
          <w:tcPr>
            <w:tcW w:w="140" w:type="dxa"/>
            <w:vAlign w:val="bottom"/>
          </w:tcPr>
          <w:p>
            <w:pPr>
              <w:spacing w:after="0"/>
              <w:rPr>
                <w:sz w:val="11"/>
                <w:szCs w:val="11"/>
                <w:color w:val="auto"/>
              </w:rPr>
            </w:pPr>
          </w:p>
        </w:tc>
        <w:tc>
          <w:tcPr>
            <w:tcW w:w="900" w:type="dxa"/>
            <w:vAlign w:val="bottom"/>
          </w:tcPr>
          <w:p>
            <w:pPr>
              <w:jc w:val="center"/>
              <w:ind w:right="54"/>
              <w:spacing w:after="0" w:line="129" w:lineRule="exact"/>
              <w:rPr>
                <w:sz w:val="20"/>
                <w:szCs w:val="20"/>
                <w:color w:val="auto"/>
              </w:rPr>
            </w:pPr>
            <w:r>
              <w:rPr>
                <w:rFonts w:ascii="Arial" w:cs="Arial" w:eastAsia="Arial" w:hAnsi="Arial"/>
                <w:sz w:val="14"/>
                <w:szCs w:val="14"/>
                <w:color w:val="auto"/>
                <w:w w:val="93"/>
              </w:rPr>
              <w:t>International</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Plans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Plans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Plans</w:t>
            </w: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color w:val="auto"/>
                <w:w w:val="91"/>
              </w:rPr>
              <w:t>Plans</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Service cost</w:t>
            </w:r>
            <w:r>
              <w:rPr>
                <w:rFonts w:ascii="Arial" w:cs="Arial" w:eastAsia="Arial" w:hAnsi="Arial"/>
                <w:sz w:val="23"/>
                <w:szCs w:val="23"/>
                <w:color w:val="auto"/>
                <w:vertAlign w:val="superscript"/>
              </w:rPr>
              <w:t>(i)</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23"/>
                <w:szCs w:val="23"/>
                <w:color w:val="auto"/>
                <w:vertAlign w:val="superscript"/>
              </w:rPr>
              <w:t>(ii)</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expense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6"/>
          </w:tcPr>
          <w:p>
            <w:pPr>
              <w:jc w:val="center"/>
              <w:ind w:left="552"/>
              <w:spacing w:after="0"/>
              <w:rPr>
                <w:sz w:val="20"/>
                <w:szCs w:val="20"/>
                <w:color w:val="auto"/>
              </w:rPr>
            </w:pPr>
            <w:r>
              <w:rPr>
                <w:rFonts w:ascii="Arial" w:cs="Arial" w:eastAsia="Arial" w:hAnsi="Arial"/>
                <w:sz w:val="18"/>
                <w:szCs w:val="18"/>
                <w:color w:val="auto"/>
                <w:w w:val="91"/>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left="592"/>
              <w:spacing w:after="0"/>
              <w:rPr>
                <w:sz w:val="20"/>
                <w:szCs w:val="20"/>
                <w:color w:val="auto"/>
              </w:rPr>
            </w:pPr>
            <w:r>
              <w:rPr>
                <w:rFonts w:ascii="Arial" w:cs="Arial" w:eastAsia="Arial" w:hAnsi="Arial"/>
                <w:sz w:val="18"/>
                <w:szCs w:val="18"/>
                <w:color w:val="auto"/>
                <w:w w:val="91"/>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June 30, 2022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7"/>
              </w:rPr>
              <w:t>June 30, 2021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5"/>
              </w:rPr>
              <w:t>U.S.</w:t>
            </w:r>
          </w:p>
        </w:tc>
        <w:tc>
          <w:tcPr>
            <w:tcW w:w="160" w:type="dxa"/>
            <w:vAlign w:val="bottom"/>
          </w:tcPr>
          <w:p>
            <w:pPr>
              <w:spacing w:after="0"/>
              <w:rPr>
                <w:sz w:val="11"/>
                <w:szCs w:val="11"/>
                <w:color w:val="auto"/>
              </w:rPr>
            </w:pPr>
          </w:p>
        </w:tc>
        <w:tc>
          <w:tcPr>
            <w:tcW w:w="880" w:type="dxa"/>
            <w:vAlign w:val="bottom"/>
          </w:tcPr>
          <w:p>
            <w:pPr>
              <w:jc w:val="center"/>
              <w:ind w:right="54"/>
              <w:spacing w:after="0" w:line="129" w:lineRule="exact"/>
              <w:rPr>
                <w:sz w:val="20"/>
                <w:szCs w:val="20"/>
                <w:color w:val="auto"/>
              </w:rPr>
            </w:pPr>
            <w:r>
              <w:rPr>
                <w:rFonts w:ascii="Arial" w:cs="Arial" w:eastAsia="Arial" w:hAnsi="Arial"/>
                <w:sz w:val="14"/>
                <w:szCs w:val="14"/>
                <w:color w:val="auto"/>
                <w:w w:val="95"/>
              </w:rPr>
              <w:t>International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1"/>
                <w:szCs w:val="11"/>
                <w:color w:val="auto"/>
              </w:rPr>
            </w:pP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87"/>
              </w:rPr>
              <w:t>U.S.</w:t>
            </w:r>
          </w:p>
        </w:tc>
        <w:tc>
          <w:tcPr>
            <w:tcW w:w="140" w:type="dxa"/>
            <w:vAlign w:val="bottom"/>
          </w:tcPr>
          <w:p>
            <w:pPr>
              <w:spacing w:after="0"/>
              <w:rPr>
                <w:sz w:val="11"/>
                <w:szCs w:val="11"/>
                <w:color w:val="auto"/>
              </w:rPr>
            </w:pPr>
          </w:p>
        </w:tc>
        <w:tc>
          <w:tcPr>
            <w:tcW w:w="900" w:type="dxa"/>
            <w:vAlign w:val="bottom"/>
          </w:tcPr>
          <w:p>
            <w:pPr>
              <w:jc w:val="center"/>
              <w:ind w:right="54"/>
              <w:spacing w:after="0" w:line="129" w:lineRule="exact"/>
              <w:rPr>
                <w:sz w:val="20"/>
                <w:szCs w:val="20"/>
                <w:color w:val="auto"/>
              </w:rPr>
            </w:pPr>
            <w:r>
              <w:rPr>
                <w:rFonts w:ascii="Arial" w:cs="Arial" w:eastAsia="Arial" w:hAnsi="Arial"/>
                <w:sz w:val="14"/>
                <w:szCs w:val="14"/>
                <w:color w:val="auto"/>
                <w:w w:val="93"/>
              </w:rPr>
              <w:t>International</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Plans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Plans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Plans</w:t>
            </w: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color w:val="auto"/>
                <w:w w:val="91"/>
              </w:rPr>
              <w:t>Plans</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Service cost</w:t>
            </w:r>
            <w:r>
              <w:rPr>
                <w:rFonts w:ascii="Arial" w:cs="Arial" w:eastAsia="Arial" w:hAnsi="Arial"/>
                <w:sz w:val="23"/>
                <w:szCs w:val="23"/>
                <w:color w:val="auto"/>
                <w:vertAlign w:val="superscript"/>
              </w:rPr>
              <w:t>(i)</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23"/>
                <w:szCs w:val="23"/>
                <w:color w:val="auto"/>
                <w:vertAlign w:val="superscript"/>
              </w:rPr>
              <w:t>(ii) (iii)</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expense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0" w:right="300"/>
        <w:spacing w:after="0" w:line="207" w:lineRule="auto"/>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Service cost is reported in selling, general and administrative expense. All other components of net periodic pension expense are reported in other (expense), net in the consolidated statements of income (loss).</w:t>
      </w:r>
    </w:p>
    <w:p>
      <w:pPr>
        <w:spacing w:after="0" w:line="11" w:lineRule="exact"/>
        <w:rPr>
          <w:sz w:val="20"/>
          <w:szCs w:val="20"/>
          <w:color w:val="auto"/>
        </w:rPr>
      </w:pPr>
    </w:p>
    <w:p>
      <w:pPr>
        <w:ind w:left="40" w:right="40"/>
        <w:spacing w:after="0" w:line="209" w:lineRule="auto"/>
        <w:rPr>
          <w:sz w:val="20"/>
          <w:szCs w:val="20"/>
          <w:color w:val="auto"/>
        </w:rPr>
      </w:pPr>
      <w:r>
        <w:rPr>
          <w:rFonts w:ascii="Arial" w:cs="Arial" w:eastAsia="Arial" w:hAnsi="Arial"/>
          <w:sz w:val="21"/>
          <w:szCs w:val="21"/>
          <w:color w:val="auto"/>
          <w:vertAlign w:val="superscript"/>
        </w:rPr>
        <w:t>(ii)</w:t>
      </w:r>
      <w:r>
        <w:rPr>
          <w:rFonts w:ascii="Arial" w:cs="Arial" w:eastAsia="Arial" w:hAnsi="Arial"/>
          <w:sz w:val="16"/>
          <w:szCs w:val="16"/>
          <w:color w:val="auto"/>
        </w:rPr>
        <w:t>In the second quarter of 2021, the company’s primary pension plan related to its Dutch subsidiary was transferred to a multi-client circle within a multi-employer fund. This action resulted in a pre-tax settlement loss of $182.6 million for both the three and six months ended June 30, 2021. Additionally, the company’s Swiss subsidiary transferred its defined benefit pension plans to a multiple-employer collective foundation. This action resulted in a pre-tax settlement loss of $28.1 million for both the three and six months ended June 30, 2021.</w:t>
      </w:r>
    </w:p>
    <w:p>
      <w:pPr>
        <w:spacing w:after="0" w:line="11" w:lineRule="exact"/>
        <w:rPr>
          <w:sz w:val="20"/>
          <w:szCs w:val="20"/>
          <w:color w:val="auto"/>
        </w:rPr>
      </w:pPr>
    </w:p>
    <w:p>
      <w:pPr>
        <w:ind w:left="40" w:right="40"/>
        <w:spacing w:after="0" w:line="207" w:lineRule="auto"/>
        <w:rPr>
          <w:sz w:val="20"/>
          <w:szCs w:val="20"/>
          <w:color w:val="auto"/>
        </w:rPr>
      </w:pPr>
      <w:r>
        <w:rPr>
          <w:rFonts w:ascii="Arial" w:cs="Arial" w:eastAsia="Arial" w:hAnsi="Arial"/>
          <w:sz w:val="21"/>
          <w:szCs w:val="21"/>
          <w:color w:val="auto"/>
          <w:vertAlign w:val="superscript"/>
        </w:rPr>
        <w:t>(iii)</w:t>
      </w:r>
      <w:r>
        <w:rPr>
          <w:rFonts w:ascii="Arial" w:cs="Arial" w:eastAsia="Arial" w:hAnsi="Arial"/>
          <w:sz w:val="16"/>
          <w:szCs w:val="16"/>
          <w:color w:val="auto"/>
        </w:rPr>
        <w:t>In January 2021, the company purchased a group annuity contract to transferred projected benefit obligations related to its U.S. defined benefit pension plans. This action resulted in a pre-tax settlement loss of $158.0 million.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the company expects to make cash contributions of approximately $39.3 million primarily for the company’s international defined benefit pension plans. In 2021, the company made cash contributions of $52.4 million to its worldwide defined benefit pension plans. During the six months ended June 30, 2022 and 2021, the company made cash contributions of $23.3 million and $30.3 million, respectively.</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defined benefit pension plans.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Net periodic postretirement benefit income is presented below:</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1960" w:type="dxa"/>
            <w:vAlign w:val="bottom"/>
            <w:gridSpan w:val="4"/>
          </w:tcPr>
          <w:p>
            <w:pPr>
              <w:jc w:val="right"/>
              <w:ind w:right="330"/>
              <w:spacing w:after="0"/>
              <w:rPr>
                <w:sz w:val="20"/>
                <w:szCs w:val="20"/>
                <w:color w:val="auto"/>
              </w:rPr>
            </w:pPr>
            <w:r>
              <w:rPr>
                <w:rFonts w:ascii="Arial" w:cs="Arial" w:eastAsia="Arial" w:hAnsi="Arial"/>
                <w:sz w:val="18"/>
                <w:szCs w:val="18"/>
                <w:color w:val="auto"/>
              </w:rPr>
              <w:t>Six Months Ended</w:t>
            </w:r>
          </w:p>
        </w:tc>
      </w:tr>
      <w:tr>
        <w:trPr>
          <w:trHeight w:val="229"/>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19"/>
                <w:szCs w:val="19"/>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Service cost</w:t>
            </w:r>
            <w:r>
              <w:rPr>
                <w:rFonts w:ascii="Arial" w:cs="Arial" w:eastAsia="Arial" w:hAnsi="Arial"/>
                <w:sz w:val="23"/>
                <w:szCs w:val="23"/>
                <w:color w:val="auto"/>
                <w:vertAlign w:val="superscript"/>
              </w:rPr>
              <w:t>(i)</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0.2</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7"/>
              </w:rPr>
              <w:t>0.8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7"/>
              </w:rPr>
              <w:t>(0.2)</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Recognized net actuarial gain</w:t>
            </w:r>
          </w:p>
        </w:tc>
        <w:tc>
          <w:tcPr>
            <w:tcW w:w="22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10"/>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97"/>
              </w:rPr>
              <w:t>(1.3)</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7"/>
              </w:rPr>
              <w:t>(0.8)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Net periodic postretirement benefit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7"/>
              </w:rPr>
              <w:t>(1.3)</w:t>
            </w: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 w:right="740"/>
        <w:spacing w:after="0" w:line="207" w:lineRule="auto"/>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Service cost is reported in selling, general and administrative expense. All other components of net periodic postretirement benefit expense are reported in other (expense), net in the consolidated statements of income (loss).</w:t>
      </w:r>
    </w:p>
    <w:p>
      <w:pPr>
        <w:spacing w:after="0" w:line="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expects to make cash contributions of approximately $6 million to its postretirement benefit plan in 2022. In 2021, the company made cash contributions of $4.0 million to its postretirement benefit plan. For the six months ended June 30, 2022 and 2021, the company made cash contributions of $1.8 million each period.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Stock Compensation</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stockholder approved stock-based plans, stock options, stock appreciation rights, restricted stock and restricted stock units may be granted to officers, directors and other key employees.</w:t>
      </w:r>
    </w:p>
    <w:p>
      <w:pPr>
        <w:spacing w:after="0" w:line="62"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As of June 30, 2022, the company has granted non-qualified stock options, restricted stock and restricted stock units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spacing w:after="0" w:line="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six months ended June 30, 2022 and 2021, the company recorded $10.3 million and $7.0 million of share-based restricted stock and restricted stock unit compensation expense, respectively.</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restricted stock unit (RSU) activity for the six months ended June 30, 2022 follows (shares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6"/>
                <w:szCs w:val="16"/>
                <w:color w:val="auto"/>
              </w:rPr>
              <w:t>Restricted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tcPr>
          <w:p>
            <w:pPr>
              <w:jc w:val="right"/>
              <w:ind w:right="275"/>
              <w:spacing w:after="0" w:line="162" w:lineRule="exact"/>
              <w:rPr>
                <w:sz w:val="20"/>
                <w:szCs w:val="20"/>
                <w:color w:val="auto"/>
              </w:rPr>
            </w:pPr>
            <w:r>
              <w:rPr>
                <w:rFonts w:ascii="Arial" w:cs="Arial" w:eastAsia="Arial" w:hAnsi="Arial"/>
                <w:sz w:val="16"/>
                <w:szCs w:val="16"/>
                <w:color w:val="auto"/>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3"/>
              </w:rPr>
              <w:t>Grant-Date</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6"/>
                <w:szCs w:val="16"/>
                <w:color w:val="auto"/>
              </w:rPr>
              <w:t>and RSU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49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Forfeited and expired</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49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11</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ind w:right="180"/>
        <w:spacing w:after="0" w:line="279" w:lineRule="auto"/>
        <w:rPr>
          <w:sz w:val="20"/>
          <w:szCs w:val="20"/>
          <w:color w:val="auto"/>
        </w:rPr>
      </w:pPr>
      <w:r>
        <w:rPr>
          <w:rFonts w:ascii="Arial" w:cs="Arial" w:eastAsia="Arial" w:hAnsi="Arial"/>
          <w:sz w:val="17"/>
          <w:szCs w:val="17"/>
          <w:color w:val="auto"/>
        </w:rPr>
        <w:t>The aggregate weighted-average grant-date fair value of restricted stock and restricted stock units granted during the six months ended June 30, 2022 and 2021 was $26.7 million and $32.2 million, respectively. The fair value of restricted stock and restricted stock units with time and performance conditions was determined based on the trading price of the company’s common shares on the date of grant. The fair value of awards with market conditions was estimated using a Monte Carlo simulation with the following weighted-average assumptions:</w:t>
      </w:r>
    </w:p>
    <w:p>
      <w:pPr>
        <w:spacing w:after="0" w:line="88" w:lineRule="exact"/>
        <w:rPr>
          <w:sz w:val="20"/>
          <w:szCs w:val="20"/>
          <w:color w:val="auto"/>
        </w:rPr>
      </w:pPr>
    </w:p>
    <w:p>
      <w:pPr>
        <w:jc w:val="center"/>
        <w:ind w:left="8760"/>
        <w:spacing w:after="0"/>
        <w:rPr>
          <w:sz w:val="20"/>
          <w:szCs w:val="20"/>
          <w:color w:val="auto"/>
        </w:rPr>
      </w:pPr>
      <w:r>
        <w:rPr>
          <w:rFonts w:ascii="Arial" w:cs="Arial" w:eastAsia="Arial" w:hAnsi="Arial"/>
          <w:sz w:val="18"/>
          <w:szCs w:val="18"/>
          <w:color w:val="auto"/>
        </w:rPr>
        <w:t>Six Months Ended</w:t>
      </w:r>
    </w:p>
    <w:p>
      <w:pPr>
        <w:jc w:val="center"/>
        <w:ind w:left="876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Weighted-average fair value of grant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40.02</w:t>
            </w:r>
          </w:p>
        </w:tc>
      </w:tr>
      <w:tr>
        <w:trPr>
          <w:trHeight w:val="229"/>
        </w:trPr>
        <w:tc>
          <w:tcPr>
            <w:tcW w:w="8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r>
      <w:tr>
        <w:trPr>
          <w:trHeight w:val="230"/>
        </w:trPr>
        <w:tc>
          <w:tcPr>
            <w:tcW w:w="8780" w:type="dxa"/>
            <w:vAlign w:val="bottom"/>
          </w:tcPr>
          <w:p>
            <w:pPr>
              <w:ind w:left="20"/>
              <w:spacing w:after="0" w:line="23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(ii)</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57.08 %</w:t>
            </w:r>
          </w:p>
        </w:tc>
      </w:tr>
      <w:tr>
        <w:trPr>
          <w:trHeight w:val="229"/>
        </w:trPr>
        <w:tc>
          <w:tcPr>
            <w:tcW w:w="8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Expected life of restricted stock units in years</w:t>
            </w:r>
            <w:r>
              <w:rPr>
                <w:rFonts w:ascii="Arial" w:cs="Arial" w:eastAsia="Arial" w:hAnsi="Arial"/>
                <w:sz w:val="23"/>
                <w:szCs w:val="23"/>
                <w:color w:val="auto"/>
                <w:vertAlign w:val="superscript"/>
              </w:rPr>
              <w:t>(iii)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1"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Represents the continuously compounded semi-annual zero-coupon U.S. treasury rate commensurate with the remaining performance period.</w:t>
      </w:r>
    </w:p>
    <w:p>
      <w:pPr>
        <w:ind w:left="20"/>
        <w:spacing w:after="0" w:line="197" w:lineRule="auto"/>
        <w:rPr>
          <w:sz w:val="20"/>
          <w:szCs w:val="20"/>
          <w:color w:val="auto"/>
        </w:rPr>
      </w:pPr>
      <w:r>
        <w:rPr>
          <w:rFonts w:ascii="Arial" w:cs="Arial" w:eastAsia="Arial" w:hAnsi="Arial"/>
          <w:sz w:val="21"/>
          <w:szCs w:val="21"/>
          <w:color w:val="auto"/>
          <w:vertAlign w:val="superscript"/>
        </w:rPr>
        <w:t>(ii)</w:t>
      </w:r>
      <w:r>
        <w:rPr>
          <w:rFonts w:ascii="Arial" w:cs="Arial" w:eastAsia="Arial" w:hAnsi="Arial"/>
          <w:sz w:val="16"/>
          <w:szCs w:val="16"/>
          <w:color w:val="auto"/>
        </w:rPr>
        <w:t>Based on historical volatility for the company that is commensurate with the length of the performance period.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(iii)</w:t>
      </w:r>
      <w:r>
        <w:rPr>
          <w:rFonts w:ascii="Arial" w:cs="Arial" w:eastAsia="Arial" w:hAnsi="Arial"/>
          <w:sz w:val="16"/>
          <w:szCs w:val="16"/>
          <w:color w:val="auto"/>
        </w:rPr>
        <w:t>Represents the remaining life of the longest performance period.</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2022, there was $39.5 million of total unrecognized compensation cost related to outstanding restricted stock and restricted stock units granted under the company’s plans. That cost is expected to be recognized over a weighted-average period of 2.4 years. The aggregate weighted-average grant-date fair value of restricted stock and restricted stock units vested during the six months ended June 30, 2022 and 2021 was $16.6 million and $14.7 million, respectively.</w:t>
      </w:r>
    </w:p>
    <w:p>
      <w:pPr>
        <w:spacing w:after="0" w:line="79"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Common stock issued upon the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is comprised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330"/>
              <w:spacing w:after="0"/>
              <w:rPr>
                <w:sz w:val="20"/>
                <w:szCs w:val="20"/>
                <w:color w:val="auto"/>
              </w:rPr>
            </w:pPr>
            <w:r>
              <w:rPr>
                <w:rFonts w:ascii="Arial" w:cs="Arial" w:eastAsia="Arial" w:hAnsi="Arial"/>
                <w:sz w:val="18"/>
                <w:szCs w:val="18"/>
                <w:color w:val="auto"/>
              </w:rPr>
              <w:t>Six Months Ended</w:t>
            </w:r>
          </w:p>
        </w:tc>
      </w:tr>
      <w:tr>
        <w:trPr>
          <w:trHeight w:val="230"/>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19"/>
                <w:szCs w:val="19"/>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exchange (losses) gains**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costs and other,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*Includes $210.7 million and $368.7 million in the three and six months ended June 30, 2021 of settlement losses related to defined benefit pension plans. See Note 5.</w:t>
      </w:r>
    </w:p>
    <w:p>
      <w:pPr>
        <w:spacing w:after="0" w:line="9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**Includes net foreign losses of $1.8 million and net foreign currency gains of $0.7 million, respectively, in the three months ended June 30, 2022 and 2021, related to substantial completion of liquidation of foreign subsidiaries. Includes net foreign currency losses of $2.9 million and $1.6 million, respectively, in the six months ended June 30, 2022 and 2021, related to substantial completion of liquidation of foreign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Income Taxes</w:t>
      </w:r>
    </w:p>
    <w:p>
      <w:pPr>
        <w:spacing w:after="0" w:line="11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spacing w:after="0" w:line="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evaluates the realizability of its deferred tax assets by assessing its valuation allowance and by adjusting the amount of such allowance, if necessary. The realization of the company’s net deferred tax assets as of June 30, 2022 is primarily dependent on the ability to generate sustained taxable income in various jurisdictions. Judgment is required to estimate forecasted future taxable income, which may be impacted by future business developments, actual results, strategic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ind w:right="100"/>
        <w:spacing w:after="0" w:line="272" w:lineRule="auto"/>
        <w:rPr>
          <w:sz w:val="20"/>
          <w:szCs w:val="20"/>
          <w:color w:val="auto"/>
        </w:rPr>
      </w:pPr>
      <w:r>
        <w:rPr>
          <w:rFonts w:ascii="Arial" w:cs="Arial" w:eastAsia="Arial" w:hAnsi="Arial"/>
          <w:sz w:val="17"/>
          <w:szCs w:val="17"/>
          <w:color w:val="auto"/>
        </w:rPr>
        <w:t>operational and tax initiatives, legislative, and other economic factors and developments. It is at least reasonably possible that the company’s judgment about the need for, and level of, existing valuation allowances could change in the near term based on changes in objective evidence such as further sustained income or loss in certain jurisdictions, as well as the other factors discussed above, primarily in certain jurisdictions outside of the United States. As such, the company will continue to monitor income levels and mix among jurisdictions, potential changes to the company’s operating and tax model, and other legislative or global developments in its determination. It is reasonably possible that such changes could result in a material impact to the company’s valuation allowance within the next 12 months. Any increase or decrease in the valuation allowance would result in additional or lower income tax expense in that period and could have a significant impact on that period’s earnings.</w:t>
      </w:r>
    </w:p>
    <w:p>
      <w:pPr>
        <w:spacing w:after="0" w:line="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corporation’s ability to deduct its federal net operating loss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the company’s ability to utilize its NOL carryforwards and other tax attributes.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Loss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how loss per share attributable to Unisys Corporation was computed (shares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30"/>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per common share computation: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attributable to Unisys Corporation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65,752</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loss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loss per common share computation:</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Unisys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65,752</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of employee stock plans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9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Adjusted weighted average shares</w:t>
            </w: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67,694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67,080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67,541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65,752</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Anti-dilutive weighted-average stock options and restricted stock units</w:t>
            </w:r>
            <w:r>
              <w:rPr>
                <w:rFonts w:ascii="Arial" w:cs="Arial" w:eastAsia="Arial" w:hAnsi="Arial"/>
                <w:sz w:val="23"/>
                <w:szCs w:val="23"/>
                <w:color w:val="auto"/>
                <w:vertAlign w:val="superscript"/>
              </w:rPr>
              <w:t>(i)</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20"/>
          <w:szCs w:val="20"/>
          <w:color w:val="auto"/>
          <w:vertAlign w:val="superscript"/>
        </w:rPr>
        <w:t>(i)</w:t>
      </w:r>
      <w:r>
        <w:rPr>
          <w:rFonts w:ascii="Arial" w:cs="Arial" w:eastAsia="Arial" w:hAnsi="Arial"/>
          <w:sz w:val="15"/>
          <w:szCs w:val="15"/>
          <w:color w:val="auto"/>
        </w:rPr>
        <w:t>Amounts represent shares excluded from the computation of diluted loss per share, as their effect, if included, would have been anti-dilutive for the periods presented.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Note 10 - Contract Assets and Deferred Revenue</w:t>
      </w:r>
    </w:p>
    <w:p>
      <w:pPr>
        <w:spacing w:after="0" w:line="1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(liabilities)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6"/>
                <w:szCs w:val="16"/>
                <w:color w:val="auto"/>
              </w:rPr>
              <w:t>June 30, 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91"/>
              <w:spacing w:after="0"/>
              <w:rPr>
                <w:sz w:val="20"/>
                <w:szCs w:val="20"/>
                <w:color w:val="auto"/>
              </w:rPr>
            </w:pPr>
            <w:r>
              <w:rPr>
                <w:rFonts w:ascii="Arial" w:cs="Arial" w:eastAsia="Arial" w:hAnsi="Arial"/>
                <w:sz w:val="16"/>
                <w:szCs w:val="16"/>
                <w:color w:val="auto"/>
                <w:w w:val="93"/>
              </w:rPr>
              <w:t>December 31,</w:t>
            </w: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39.9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Contract assets - long-term</w:t>
            </w:r>
            <w:r>
              <w:rPr>
                <w:rFonts w:ascii="Arial" w:cs="Arial" w:eastAsia="Arial" w:hAnsi="Arial"/>
                <w:sz w:val="23"/>
                <w:szCs w:val="23"/>
                <w:color w:val="auto"/>
                <w:vertAlign w:val="superscript"/>
              </w:rPr>
              <w:t>(i)</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w w:val="96"/>
              </w:rPr>
              <w:t>15.0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 current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Deferred revenue - long-term</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(137.4)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386"/>
        </w:trPr>
        <w:tc>
          <w:tcPr>
            <w:tcW w:w="6760" w:type="dxa"/>
            <w:vAlign w:val="bottom"/>
          </w:tcPr>
          <w:p>
            <w:pPr>
              <w:ind w:left="20"/>
              <w:spacing w:after="0"/>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Reported in other long-term assets on the company’s consolidated balance sheets.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Arial" w:cs="Arial" w:eastAsia="Arial" w:hAnsi="Arial"/>
                <w:sz w:val="18"/>
                <w:szCs w:val="18"/>
                <w:color w:val="auto"/>
              </w:rPr>
              <w:t>Significant changes in the above contract liability balances were as follows: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ind w:left="1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2000" w:type="dxa"/>
            <w:vAlign w:val="bottom"/>
            <w:gridSpan w:val="7"/>
          </w:tcPr>
          <w:p>
            <w:pPr>
              <w:ind w:left="2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6"/>
          </w:tcPr>
          <w:p>
            <w:pPr>
              <w:jc w:val="right"/>
              <w:ind w:right="711"/>
              <w:spacing w:after="0"/>
              <w:rPr>
                <w:sz w:val="20"/>
                <w:szCs w:val="20"/>
                <w:color w:val="auto"/>
              </w:rPr>
            </w:pPr>
            <w:r>
              <w:rPr>
                <w:rFonts w:ascii="Arial" w:cs="Arial" w:eastAsia="Arial" w:hAnsi="Arial"/>
                <w:sz w:val="18"/>
                <w:szCs w:val="18"/>
                <w:color w:val="auto"/>
                <w:w w:val="83"/>
              </w:rPr>
              <w:t>June 30,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Revenue recognized that was included in deferred revenue at the beginning of the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Capitalized Contract Costs</w:t>
      </w:r>
    </w:p>
    <w:p>
      <w:pPr>
        <w:spacing w:after="0" w:line="1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consolidated balance sheets. At June 30, 2022 and December 31, 2021, the company had $5.0 million and $6.7 million, respectively, of deferred commissions.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deferred commissions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19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9"/>
                <w:szCs w:val="19"/>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Deferred commissions - amortization expense</w:t>
            </w:r>
            <w:r>
              <w:rPr>
                <w:rFonts w:ascii="Arial" w:cs="Arial" w:eastAsia="Arial" w:hAnsi="Arial"/>
                <w:sz w:val="23"/>
                <w:szCs w:val="23"/>
                <w:color w:val="auto"/>
                <w:vertAlign w:val="superscript"/>
              </w:rPr>
              <w:t>(i)</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Reported in selling, general and administrative expense in the company’s consolidated statements of income (loss).</w:t>
      </w:r>
    </w:p>
    <w:p>
      <w:pPr>
        <w:spacing w:after="0" w:line="5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The amount of such costs at June 30, 2022 and December 31, 2021 was $43.4 million and $56.2 million, respectively. These costs are amortized over the initial contract life and reported in cost of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costs to fulfill a contract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1860" w:type="dxa"/>
            <w:vAlign w:val="bottom"/>
            <w:gridSpan w:val="4"/>
          </w:tcPr>
          <w:p>
            <w:pPr>
              <w:ind w:left="340"/>
              <w:spacing w:after="0"/>
              <w:rPr>
                <w:sz w:val="20"/>
                <w:szCs w:val="20"/>
                <w:color w:val="auto"/>
              </w:rPr>
            </w:pPr>
            <w:r>
              <w:rPr>
                <w:rFonts w:ascii="Arial" w:cs="Arial" w:eastAsia="Arial" w:hAnsi="Arial"/>
                <w:sz w:val="18"/>
                <w:szCs w:val="18"/>
                <w:color w:val="auto"/>
                <w:w w:val="89"/>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67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5"/>
              </w:rPr>
              <w:t>June 30,</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9"/>
                <w:szCs w:val="19"/>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2022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to fulfill a contract - amortization expense</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Note 12 - Financial Instruments and Fair Value Measurements</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June 30, 2022 and December 31, 2021, the notional amount of these contracts was $506.2 million and $552.2 million, respectively. The fair value of these forward contracts is based on quoted prices for similar but not identical financial instruments; as such, the inputs are considered Level 2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company’s foreign exchange forward contracts.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color w:val="auto"/>
              </w:rPr>
              <w:t>June 30, 2022</w:t>
            </w:r>
          </w:p>
        </w:tc>
        <w:tc>
          <w:tcPr>
            <w:tcW w:w="140" w:type="dxa"/>
            <w:vAlign w:val="bottom"/>
          </w:tcPr>
          <w:p>
            <w:pPr>
              <w:spacing w:after="0"/>
              <w:rPr>
                <w:sz w:val="16"/>
                <w:szCs w:val="16"/>
                <w:color w:val="auto"/>
              </w:rPr>
            </w:pPr>
          </w:p>
        </w:tc>
        <w:tc>
          <w:tcPr>
            <w:tcW w:w="1120" w:type="dxa"/>
            <w:vAlign w:val="bottom"/>
          </w:tcPr>
          <w:p>
            <w:pPr>
              <w:jc w:val="right"/>
              <w:ind w:right="94"/>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6"/>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4"/>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5"/>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95"/>
              </w:rPr>
              <w:t>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1"/>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location and amount of gains and (losses) recognized on foreign exchange forward contracts.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7"/>
                <w:szCs w:val="17"/>
                <w:color w:val="auto"/>
              </w:rPr>
            </w:pPr>
          </w:p>
        </w:tc>
        <w:tc>
          <w:tcPr>
            <w:tcW w:w="19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Income Location</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June 30, 2022 and December 31,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June 30, 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9"/>
              </w:rPr>
              <w:t>December 31, 2021</w:t>
            </w: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4"/>
                <w:szCs w:val="1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6.875% senior secured notes due November 1, 2027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Long-term debt is carried at amortized cost and its estimated fair value is based on market prices classified as Level 2 in the fair value hierarchy.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Note 13 - Goodwill and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reporting unit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DWS</w:t>
            </w: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CA&amp;I</w:t>
            </w: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ECS</w:t>
            </w:r>
          </w:p>
        </w:tc>
        <w:tc>
          <w:tcPr>
            <w:tcW w:w="32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Acquisition - Measurement period</w:t>
            </w: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adjustment (see Note 3)</w:t>
            </w:r>
          </w:p>
        </w:tc>
        <w:tc>
          <w:tcPr>
            <w:tcW w:w="9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286.8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amount of goodwill allocated to reporting units with negative net assets within Other was $10.3 million.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Intangible assets, net at June 30, 2022 consists of the following:</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vMerge w:val="restart"/>
          </w:tcPr>
          <w:p>
            <w:pPr>
              <w:spacing w:after="0"/>
              <w:rPr>
                <w:sz w:val="20"/>
                <w:szCs w:val="20"/>
                <w:color w:val="auto"/>
              </w:rPr>
            </w:pPr>
            <w:r>
              <w:rPr>
                <w:rFonts w:ascii="Arial" w:cs="Arial" w:eastAsia="Arial" w:hAnsi="Arial"/>
                <w:sz w:val="18"/>
                <w:szCs w:val="18"/>
                <w:color w:val="auto"/>
              </w:rPr>
              <w:t>Gross Carrying Amount</w:t>
            </w:r>
          </w:p>
        </w:tc>
        <w:tc>
          <w:tcPr>
            <w:tcW w:w="32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24"/>
                <w:szCs w:val="24"/>
                <w:color w:val="auto"/>
              </w:rPr>
            </w:pPr>
          </w:p>
        </w:tc>
        <w:tc>
          <w:tcPr>
            <w:tcW w:w="1820" w:type="dxa"/>
            <w:vAlign w:val="bottom"/>
            <w:vMerge w:val="restart"/>
          </w:tcPr>
          <w:p>
            <w:pPr>
              <w:jc w:val="right"/>
              <w:ind w:right="110"/>
              <w:spacing w:after="0"/>
              <w:rPr>
                <w:sz w:val="20"/>
                <w:szCs w:val="20"/>
                <w:color w:val="auto"/>
              </w:rPr>
            </w:pPr>
            <w:r>
              <w:rPr>
                <w:rFonts w:ascii="Arial" w:cs="Arial" w:eastAsia="Arial" w:hAnsi="Arial"/>
                <w:sz w:val="18"/>
                <w:szCs w:val="18"/>
                <w:color w:val="auto"/>
                <w:w w:val="95"/>
              </w:rPr>
              <w:t>Net Carrying Amount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Technology </w:t>
            </w:r>
            <w:r>
              <w:rPr>
                <w:rFonts w:ascii="Arial" w:cs="Arial" w:eastAsia="Arial" w:hAnsi="Arial"/>
                <w:sz w:val="23"/>
                <w:szCs w:val="23"/>
                <w:color w:val="auto"/>
                <w:vertAlign w:val="superscript"/>
              </w:rPr>
              <w:t>(i)</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3"/>
                <w:szCs w:val="23"/>
                <w:color w:val="auto"/>
                <w:vertAlign w:val="superscript"/>
              </w:rPr>
              <w:t>(ii)</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Marketing </w:t>
            </w:r>
            <w:r>
              <w:rPr>
                <w:rFonts w:ascii="Arial" w:cs="Arial" w:eastAsia="Arial" w:hAnsi="Arial"/>
                <w:sz w:val="23"/>
                <w:szCs w:val="23"/>
                <w:color w:val="auto"/>
                <w:vertAlign w:val="superscript"/>
              </w:rPr>
              <w:t>(ii)</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40" w:hanging="132"/>
        <w:spacing w:after="0"/>
        <w:tabs>
          <w:tab w:leader="none" w:pos="1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Amortization expense is included within cost of revenue - technology in the consolidated statements of income (loss).</w:t>
      </w:r>
    </w:p>
    <w:p>
      <w:pPr>
        <w:spacing w:after="0" w:line="77" w:lineRule="exact"/>
        <w:rPr>
          <w:rFonts w:ascii="Arial" w:cs="Arial" w:eastAsia="Arial" w:hAnsi="Arial"/>
          <w:sz w:val="21"/>
          <w:szCs w:val="21"/>
          <w:color w:val="auto"/>
          <w:vertAlign w:val="superscript"/>
        </w:rPr>
      </w:pPr>
    </w:p>
    <w:p>
      <w:pPr>
        <w:ind w:right="140" w:firstLine="8"/>
        <w:spacing w:after="0" w:line="215" w:lineRule="auto"/>
        <w:tabs>
          <w:tab w:leader="none" w:pos="169"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Amortization expense is included within selling, general and administrative expense in the consolidated statements of income (loss). See Note 3 for measurement period adjustment.</w:t>
      </w:r>
    </w:p>
    <w:p>
      <w:pPr>
        <w:spacing w:after="0" w:line="8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the three months ended June 30, 2022 and 2021 amortization expense was $2.9 million and $0.5 million, respectively. For the six months ended June 30, 2022 and 2021 amortization expense was $5.3 million and $0.5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future amortization relating to acquired intangible assets at June 30, 2022 was estimated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w w:val="98"/>
              </w:rPr>
              <w:t>Future Amortization</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2023</w:t>
            </w: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2025</w:t>
            </w: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345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4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8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Note 14 - Debt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comprised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6"/>
                <w:szCs w:val="16"/>
                <w:color w:val="auto"/>
              </w:rPr>
              <w:t>June 30, 2022</w:t>
            </w:r>
          </w:p>
        </w:tc>
        <w:tc>
          <w:tcPr>
            <w:tcW w:w="14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9"/>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72"/>
        </w:trPr>
        <w:tc>
          <w:tcPr>
            <w:tcW w:w="86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6.875% senior secured notes due November 1, 2027 (Face value of $485.0 million less unamortized issuance costs of</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$6.3 and $6.9 million at June 30, 2022 and at December 31, 2021)</w:t>
            </w: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Note 12 for the fair value of the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due 2027</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Unisys AP Investment Company I, CompuGain LLC and CompuGain Public Services, LLC, each of which is a U.S. corporation or limited liability company that is directly or indirectly owned by the company (the subsidiary guarantors).</w:t>
      </w:r>
    </w:p>
    <w:p>
      <w:pPr>
        <w:spacing w:after="0" w:line="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spacing w:after="0" w:line="4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November 1, 2023, the company may, at its option, redeem some or all of the 2027 Notes at any time, at a price equal to 100% of the principal amount of the 2027 Notes redeemed plus a “make-whole” premium, plus accrued and unpaid interest, if any. The company may also redeem, at its option, up to 40% of the 2027 Notes at any time prior to November 1, 2023, using the proceeds of certain equity offerings at a redemption price of 106.875% of the principal amount thereof, plus accrued and unpaid interest, if any. On or after November 1, 2023, the company may, on any one or more occasions, redeem all or a part of the 2027 Notes at specified redemption premiums, declining to par for any redemptions on or after November 1, 2025.</w:t>
      </w:r>
    </w:p>
    <w:p>
      <w:pPr>
        <w:spacing w:after="0" w:line="4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make certain prepayments in respect of pension obligations; (v) issue certain preferred stock or similar equity securities; (vi) make loans and investments (including investments by the company and subsidiary guarantors in subsidiaries that are not guarantors); (vii) sell assets; (viii) create or incur liens; (ix) enter into transactions with affiliates; (x) enter into agreements restricting its subsidiaries’ ability to pay dividends; and (xi) consolidate, merge or sell all or substantially all of its assets. These covenants are subject to several important limitations and exceptions.</w:t>
      </w:r>
    </w:p>
    <w:p>
      <w:pPr>
        <w:spacing w:after="0" w:line="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color w:val="auto"/>
        </w:rPr>
        <w:t>The indenture also provides for events of default, which, if any of them occur, would permit or require the principal, premium, if any, interest and any other monetary obligations on all the then outstanding 2027 Notes to be due and payable immediately.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2027 Notes is comprised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18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29"/>
        </w:trPr>
        <w:tc>
          <w:tcPr>
            <w:tcW w:w="5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June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19"/>
                <w:szCs w:val="19"/>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coupon</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issuance costs</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2021</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3,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received 1,251,460 shares of its common stock, now held in treasury stock, from the settlement of the capped call transactions that the company had entered into with the initial purchasers and/or affiliates of the initial purchasers of the 2021 Notes in connection with the issuance of the 2021 Notes. As a result, the net number of outstanding shares of the company’s common stock following the conversion of the 2021 Notes increased by 3,285,663 shares.</w:t>
      </w:r>
    </w:p>
    <w:p>
      <w:pPr>
        <w:sectPr>
          <w:pgSz w:w="11900" w:h="16838" w:orient="portrait"/>
          <w:cols w:equalWidth="0" w:num="1">
            <w:col w:w="11240"/>
          </w:cols>
          <w:pgMar w:left="320" w:top="1097"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related to the 2021 Notes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Contractual interest coupon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issuance costs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29"/>
        </w:trPr>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June 30,</w:t>
            </w:r>
          </w:p>
        </w:tc>
      </w:tr>
      <w:tr>
        <w:trPr>
          <w:trHeight w:val="223"/>
        </w:trPr>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r>
      <w:tr>
        <w:trPr>
          <w:trHeight w:val="222"/>
        </w:trPr>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485" w:lineRule="exact"/>
        <w:rPr>
          <w:sz w:val="20"/>
          <w:szCs w:val="20"/>
          <w:color w:val="auto"/>
        </w:rPr>
      </w:pPr>
    </w:p>
    <w:p>
      <w:pPr>
        <w:sectPr>
          <w:pgSz w:w="11900" w:h="16838" w:orient="portrait"/>
          <w:cols w:equalWidth="0" w:num="2">
            <w:col w:w="8340" w:space="720"/>
            <w:col w:w="2180"/>
          </w:cols>
          <w:pgMar w:left="320" w:top="1097" w:right="339" w:bottom="1440" w:gutter="0" w:footer="0" w:header="0"/>
          <w:type w:val="continuous"/>
        </w:sectPr>
      </w:pPr>
    </w:p>
    <w:p>
      <w:pPr>
        <w:ind w:right="80"/>
        <w:spacing w:after="0" w:line="259" w:lineRule="auto"/>
        <w:rPr>
          <w:sz w:val="20"/>
          <w:szCs w:val="20"/>
          <w:color w:val="auto"/>
        </w:rPr>
      </w:pPr>
      <w:r>
        <w:rPr>
          <w:rFonts w:ascii="Arial" w:cs="Arial" w:eastAsia="Arial" w:hAnsi="Arial"/>
          <w:sz w:val="18"/>
          <w:szCs w:val="18"/>
          <w:color w:val="auto"/>
        </w:rPr>
        <w:t>The company has a $27.7 million Installment Payment Agreement (IPA) maturing on December 20, 2023 with a syndicate of financial institutions to finance the acquisition of certain software licenses necessary for the provision of services to a client. Interest accrues at an annual rate of 7.0% and the company is required to make monthly principal and interest payments on each agreement in arrears. At June 30, 2022, $5.3 million was reported in current maturities of long-term debt.</w:t>
      </w:r>
    </w:p>
    <w:p>
      <w:pPr>
        <w:spacing w:after="0" w:line="6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has a vendor agreement in the amount of $19.3 million to finance the acquisition of certain software licenses used to provide services to our clients and for its own internal use. Interest accrues at an annual rate of 5.47% and the company is required to make annual principal and interest payments in advance with the last payment due on March 1, 2024. At June 30, 2022, $4.0 million was reported in current maturities of long-term debt.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Based Lending (ABL) Credit Facility</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a secured revolving credit facility (the Amended and Restated ABL Credit Facility) that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June 30, 2022, the company had no borrowings and $6.3 million of letters of credit outstanding, and availability under the facility was $74.7 million net of letters of credit issued.</w:t>
      </w:r>
    </w:p>
    <w:p>
      <w:pPr>
        <w:spacing w:after="0" w:line="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9" w:name="page20"/>
    <w:bookmarkEnd w:id="19"/>
    <w:p>
      <w:pPr>
        <w:ind w:right="420"/>
        <w:spacing w:after="0" w:line="286" w:lineRule="auto"/>
        <w:rPr>
          <w:sz w:val="20"/>
          <w:szCs w:val="20"/>
          <w:color w:val="auto"/>
        </w:rPr>
      </w:pPr>
      <w:r>
        <w:rPr>
          <w:rFonts w:ascii="Arial" w:cs="Arial" w:eastAsia="Arial" w:hAnsi="Arial"/>
          <w:sz w:val="17"/>
          <w:szCs w:val="17"/>
          <w:color w:val="auto"/>
        </w:rPr>
        <w:t>including that the company has the liquidity (as defined in the Amended and Restarted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3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2022, the company has met all covenants and conditions under its various lending and funding agreements. For at least the next twelve months, the company expects to continue to meet these covenants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Litigation and Contingencies</w:t>
      </w:r>
    </w:p>
    <w:p>
      <w:pPr>
        <w:spacing w:after="0" w:line="11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There are various lawsuits, claims, investigations and proceedings that have been brought or asserted against the company, which arise in the ordinary course of business, including actions with respect to commercial and government contracts, labor and employment, employee benefits, environmental matters, intellectual property and non-income tax matters. The company records a provision for these matters when it is both probable that a liability has been incurred and the amount of the loss can be reasonably estimated. Any provisions are reviewed at least quarterly and are adjusted to reflect the impact and status of settlements, rulings, advice of counsel and other information and events pertinent to a particular matter.</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it has valid defenses with respect to legal matters pending against it. Based on its experience, the company also believes that the damage amounts claimed in the lawsuits disclosed below are not a meaningful indicator of the company’s potential liability. Litigation is inherently unpredictable, however, and it is possible that the company’s results of operations or cash flow could be materially affected in any particular period by the resolution of one or more of the legal matters pending against it.</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June 30, 2022, excluding those matters that have been assessed by management as being remote as to the likelihood of ultimately resulting in a loss, the amount related to unreserved tax-related matters, inclusive of any related interest, is estimated to be up to approximately $84 million.</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Litigation is inherently unpredictable and unfavorable resolutions could occur. Accordingly, it is possible that an adverse outcome from such matters could exceed the amounts accrued in an amount that could be material to the company’s financial condition, results of operations and cash flows in any particular reporting period.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that the ultimate results of the lawsuits, claims, investigations and proceedings that have been brought or asserted against the company are not currently determinable, the company believes that at June 30, 2022, it has adequate provisions for any such matters.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Note 16 - Accumulated Other Comprehensive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6"/>
                <w:szCs w:val="16"/>
                <w:color w:val="auto"/>
                <w:w w:val="89"/>
              </w:rPr>
              <w:t>Total</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right"/>
              <w:ind w:right="170"/>
              <w:spacing w:after="0"/>
              <w:rPr>
                <w:sz w:val="20"/>
                <w:szCs w:val="20"/>
                <w:color w:val="auto"/>
              </w:rPr>
            </w:pPr>
            <w:r>
              <w:rPr>
                <w:rFonts w:ascii="Arial" w:cs="Arial" w:eastAsia="Arial" w:hAnsi="Arial"/>
                <w:sz w:val="16"/>
                <w:szCs w:val="16"/>
                <w:color w:val="auto"/>
              </w:rPr>
              <w:t>Translation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6"/>
                <w:szCs w:val="16"/>
                <w:color w:val="auto"/>
                <w:w w:val="90"/>
              </w:rPr>
              <w:t>Postretirement</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110"/>
              <w:spacing w:after="0"/>
              <w:rPr>
                <w:sz w:val="20"/>
                <w:szCs w:val="20"/>
                <w:color w:val="auto"/>
              </w:rPr>
            </w:pPr>
            <w:r>
              <w:rPr>
                <w:rFonts w:ascii="Arial" w:cs="Arial" w:eastAsia="Arial" w:hAnsi="Arial"/>
                <w:sz w:val="16"/>
                <w:szCs w:val="16"/>
                <w:color w:val="auto"/>
              </w:rPr>
              <w:t>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6"/>
                <w:szCs w:val="16"/>
                <w:color w:val="auto"/>
                <w:w w:val="89"/>
              </w:rPr>
              <w:t>Plans</w:t>
            </w:r>
          </w:p>
        </w:tc>
        <w:tc>
          <w:tcPr>
            <w:tcW w:w="0" w:type="dxa"/>
            <w:vAlign w:val="bottom"/>
          </w:tcPr>
          <w:p>
            <w:pPr>
              <w:spacing w:after="0"/>
              <w:rPr>
                <w:sz w:val="1"/>
                <w:szCs w:val="1"/>
                <w:color w:val="auto"/>
              </w:rPr>
            </w:pPr>
          </w:p>
        </w:tc>
      </w:tr>
      <w:tr>
        <w:trPr>
          <w:trHeight w:val="226"/>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(3,264.1)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(866.2)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(2,397.9)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9"/>
              </w:rPr>
              <w:t>(43.7)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other comprehensive income (loss)</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(107.2)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(973.4)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(2,257.1)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reclassified out of accumulated other comprehensive loss are as follows:</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8"/>
          </w:tcPr>
          <w:p>
            <w:pPr>
              <w:ind w:left="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040" w:type="dxa"/>
            <w:vAlign w:val="bottom"/>
            <w:gridSpan w:val="9"/>
          </w:tcPr>
          <w:p>
            <w:pPr>
              <w:jc w:val="center"/>
              <w:ind w:right="1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June 30,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000" w:type="dxa"/>
            <w:vAlign w:val="bottom"/>
            <w:gridSpan w:val="3"/>
          </w:tcPr>
          <w:p>
            <w:pPr>
              <w:jc w:val="right"/>
              <w:ind w:right="231"/>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000" w:type="dxa"/>
            <w:vAlign w:val="bottom"/>
            <w:gridSpan w:val="4"/>
          </w:tcPr>
          <w:p>
            <w:pPr>
              <w:jc w:val="right"/>
              <w:ind w:right="215"/>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Adjustment for substantial completion of liquidation of foreign subsidiaries</w:t>
            </w:r>
            <w:r>
              <w:rPr>
                <w:rFonts w:ascii="Arial" w:cs="Arial" w:eastAsia="Arial" w:hAnsi="Arial"/>
                <w:sz w:val="23"/>
                <w:szCs w:val="23"/>
                <w:color w:val="auto"/>
                <w:vertAlign w:val="superscript"/>
              </w:rPr>
              <w:t>(i)</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7"/>
              </w:rPr>
              <w:t>2.9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Postretirement plans</w:t>
            </w:r>
            <w:r>
              <w:rPr>
                <w:rFonts w:ascii="Arial" w:cs="Arial" w:eastAsia="Arial" w:hAnsi="Arial"/>
                <w:sz w:val="23"/>
                <w:szCs w:val="23"/>
                <w:color w:val="auto"/>
                <w:vertAlign w:val="superscript"/>
              </w:rPr>
              <w:t>(ii)</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actuarial losses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Settlement losses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1"/>
                <w:szCs w:val="21"/>
                <w:color w:val="auto"/>
                <w:vertAlign w:val="superscript"/>
              </w:rPr>
              <w:t>(i)</w:t>
            </w:r>
            <w:r>
              <w:rPr>
                <w:rFonts w:ascii="Arial" w:cs="Arial" w:eastAsia="Arial" w:hAnsi="Arial"/>
                <w:sz w:val="16"/>
                <w:szCs w:val="16"/>
                <w:color w:val="auto"/>
              </w:rPr>
              <w:t xml:space="preserve"> Reported in other (expense), net in the consolidated statements of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860" w:type="dxa"/>
            <w:vAlign w:val="bottom"/>
          </w:tcPr>
          <w:p>
            <w:pPr>
              <w:ind w:left="20"/>
              <w:spacing w:after="0"/>
              <w:rPr>
                <w:sz w:val="20"/>
                <w:szCs w:val="20"/>
                <w:color w:val="auto"/>
              </w:rPr>
            </w:pPr>
            <w:r>
              <w:rPr>
                <w:rFonts w:ascii="Arial" w:cs="Arial" w:eastAsia="Arial" w:hAnsi="Arial"/>
                <w:sz w:val="21"/>
                <w:szCs w:val="21"/>
                <w:color w:val="auto"/>
                <w:vertAlign w:val="superscript"/>
              </w:rPr>
              <w:t>(ii)</w:t>
            </w:r>
            <w:r>
              <w:rPr>
                <w:rFonts w:ascii="Arial" w:cs="Arial" w:eastAsia="Arial" w:hAnsi="Arial"/>
                <w:sz w:val="16"/>
                <w:szCs w:val="16"/>
                <w:color w:val="auto"/>
              </w:rPr>
              <w:t>These items are included in net periodic postretirement cost (see Note 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Supplemental Cash Flow Information</w:t>
      </w:r>
    </w:p>
    <w:p>
      <w:pPr>
        <w:spacing w:after="0" w:line="28" w:lineRule="exact"/>
        <w:rPr>
          <w:sz w:val="20"/>
          <w:szCs w:val="20"/>
          <w:color w:val="auto"/>
        </w:rPr>
      </w:pPr>
    </w:p>
    <w:p>
      <w:pPr>
        <w:jc w:val="center"/>
        <w:ind w:left="8580"/>
        <w:spacing w:after="0"/>
        <w:rPr>
          <w:sz w:val="20"/>
          <w:szCs w:val="20"/>
          <w:color w:val="auto"/>
        </w:rPr>
      </w:pPr>
      <w:r>
        <w:rPr>
          <w:rFonts w:ascii="Arial" w:cs="Arial" w:eastAsia="Arial" w:hAnsi="Arial"/>
          <w:sz w:val="18"/>
          <w:szCs w:val="18"/>
          <w:color w:val="auto"/>
        </w:rPr>
        <w:t>Six Months Ended</w:t>
      </w:r>
    </w:p>
    <w:p>
      <w:pPr>
        <w:jc w:val="center"/>
        <w:ind w:left="858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1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bl>
    <w:p>
      <w:pPr>
        <w:spacing w:after="0" w:line="229"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amounts shown in the consolidated statements of cash flows.</w:t>
      </w:r>
    </w:p>
    <w:tbl>
      <w:tblPr>
        <w:tblLayout w:type="fixed"/>
        <w:tblInd w:w="0" w:type="dxa"/>
        <w:tblCellMar>
          <w:top w:w="0" w:type="dxa"/>
          <w:left w:w="0" w:type="dxa"/>
          <w:bottom w:w="0" w:type="dxa"/>
          <w:right w:w="0" w:type="dxa"/>
        </w:tblCellMar>
      </w:tblPr>
      <w:tr>
        <w:trPr>
          <w:trHeight w:val="178"/>
        </w:trPr>
        <w:tc>
          <w:tcPr>
            <w:tcW w:w="8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15"/>
                <w:szCs w:val="15"/>
                <w:color w:val="auto"/>
              </w:rPr>
            </w:pPr>
          </w:p>
        </w:tc>
        <w:tc>
          <w:tcPr>
            <w:tcW w:w="1240" w:type="dxa"/>
            <w:vAlign w:val="bottom"/>
          </w:tcPr>
          <w:p>
            <w:pPr>
              <w:jc w:val="right"/>
              <w:ind w:right="110"/>
              <w:spacing w:after="0" w:line="178"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540" w:right="1820" w:hanging="5525"/>
        <w:spacing w:after="0" w:line="512" w:lineRule="auto"/>
        <w:rPr>
          <w:sz w:val="20"/>
          <w:szCs w:val="20"/>
          <w:color w:val="auto"/>
        </w:rPr>
      </w:pPr>
      <w:r>
        <w:rPr>
          <w:rFonts w:ascii="Arial" w:cs="Arial" w:eastAsia="Arial" w:hAnsi="Arial"/>
          <w:sz w:val="18"/>
          <w:szCs w:val="18"/>
          <w:color w:val="auto"/>
        </w:rPr>
        <w:t>Cash and cash equivalents subject to contractual restrictions and are therefore not readily available are classified as restricted cash.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Note 18 - Segment Information</w:t>
      </w:r>
    </w:p>
    <w:p>
      <w:pPr>
        <w:spacing w:after="0" w:line="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and Infrastructure Solutions to better represent the nature of the segment’s operations. There was no change to the composition of the segment or its historical results.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Workplace Solutions (DWS), which provides modern and traditional workplace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Cloud, Applications and Infrastructure Solutions (CA&amp;I), which provides digital platform, applications, and infrastructure solutions; and</w:t>
      </w:r>
    </w:p>
    <w:p>
      <w:pPr>
        <w:spacing w:after="0" w:line="101"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Enterprise Computing Solutions (ECS), which provides solutions that harness secure, continuous high-intensity computing and enable digital services through software-defined operating environments.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(loss),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six months ended June 30, 2021 was $0.4 million and $1.1 million, respectively. The sales and profit on these transactions are eliminated in consolidation.</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the company’s operations by segment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Total Segments</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color w:val="auto"/>
              </w:rPr>
              <w:t>DWS</w:t>
            </w:r>
          </w:p>
        </w:tc>
        <w:tc>
          <w:tcPr>
            <w:tcW w:w="30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color w:val="auto"/>
              </w:rPr>
              <w:t>CA&amp;I</w:t>
            </w:r>
          </w:p>
        </w:tc>
        <w:tc>
          <w:tcPr>
            <w:tcW w:w="3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Arial" w:cs="Arial" w:eastAsia="Arial" w:hAnsi="Arial"/>
                <w:sz w:val="16"/>
                <w:szCs w:val="16"/>
                <w:color w:val="auto"/>
              </w:rPr>
              <w:t>ECS</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Total Segments</w:t>
            </w:r>
          </w:p>
        </w:tc>
        <w:tc>
          <w:tcPr>
            <w:tcW w:w="3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color w:val="auto"/>
              </w:rPr>
              <w:t>DWS</w:t>
            </w:r>
          </w:p>
        </w:tc>
        <w:tc>
          <w:tcPr>
            <w:tcW w:w="30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color w:val="auto"/>
              </w:rPr>
              <w:t>CA&amp;I</w:t>
            </w:r>
          </w:p>
        </w:tc>
        <w:tc>
          <w:tcPr>
            <w:tcW w:w="320" w:type="dxa"/>
            <w:vAlign w:val="bottom"/>
          </w:tcPr>
          <w:p>
            <w:pPr>
              <w:spacing w:after="0"/>
              <w:rPr>
                <w:sz w:val="24"/>
                <w:szCs w:val="24"/>
                <w:color w:val="auto"/>
              </w:rPr>
            </w:pPr>
          </w:p>
        </w:tc>
        <w:tc>
          <w:tcPr>
            <w:tcW w:w="1040" w:type="dxa"/>
            <w:vAlign w:val="bottom"/>
          </w:tcPr>
          <w:p>
            <w:pPr>
              <w:jc w:val="right"/>
              <w:ind w:right="451"/>
              <w:spacing w:after="0"/>
              <w:rPr>
                <w:sz w:val="20"/>
                <w:szCs w:val="20"/>
                <w:color w:val="auto"/>
              </w:rPr>
            </w:pPr>
            <w:r>
              <w:rPr>
                <w:rFonts w:ascii="Arial" w:cs="Arial" w:eastAsia="Arial" w:hAnsi="Arial"/>
                <w:sz w:val="16"/>
                <w:szCs w:val="16"/>
                <w:color w:val="auto"/>
              </w:rPr>
              <w:t>ECS</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480" w:type="dxa"/>
            <w:vAlign w:val="bottom"/>
          </w:tcPr>
          <w:p>
            <w:pPr>
              <w:spacing w:after="0"/>
              <w:rPr>
                <w:sz w:val="24"/>
                <w:szCs w:val="24"/>
                <w:color w:val="auto"/>
              </w:rPr>
            </w:pPr>
          </w:p>
        </w:tc>
        <w:tc>
          <w:tcPr>
            <w:tcW w:w="1360" w:type="dxa"/>
            <w:vAlign w:val="bottom"/>
            <w:gridSpan w:val="2"/>
          </w:tcPr>
          <w:p>
            <w:pPr>
              <w:jc w:val="right"/>
              <w:ind w:right="10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w w:val="96"/>
              </w:rPr>
              <w:t>Presented below is a reconciliation of total segment revenue to total consolidated revenue:</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0"/>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29"/>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 of intercompany revenue</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1,027.1</w:t>
            </w:r>
          </w:p>
        </w:tc>
      </w:tr>
      <w:tr>
        <w:trPr>
          <w:trHeight w:val="21"/>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reconciliation of total segment gross profit to consolidated loss before income taxes: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30"/>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gross profit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gross profit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earnings (loss)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r>
      <w:tr>
        <w:trPr>
          <w:trHeight w:val="21"/>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Other revenue and other gross profit are comprised of an aggregation of a number of immaterial business activities that principally provide for the management of processes and functions for clients in select industries, helping them improve performance and reduce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Geographic information about the company’s revenue, which is principally based on location of the selling organization,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29"/>
        </w:trPr>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9"/>
                <w:szCs w:val="19"/>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2021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foreign</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1,027.1</w:t>
            </w:r>
          </w:p>
        </w:tc>
      </w:tr>
      <w:tr>
        <w:trPr>
          <w:trHeight w:val="21"/>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 Remaining Performance Obligations</w:t>
      </w:r>
    </w:p>
    <w:p>
      <w:pPr>
        <w:spacing w:after="0" w:line="1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June 30, 2022, the company had approximately $0.6 billion of remaining performance obligations of which approximately 19% is estimated to be recognized as revenue by the end of 2022 and an additional 35% by the end of 2023.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Arial" w:cs="Arial" w:eastAsia="Arial" w:hAnsi="Arial"/>
          <w:sz w:val="24"/>
          <w:szCs w:val="24"/>
          <w:b w:val="1"/>
          <w:bCs w:val="1"/>
          <w:color w:val="auto"/>
        </w:rPr>
        <w:t>Item 2. Management’s Discussion and Analysis of Financial Condition and Results of Operations</w:t>
      </w:r>
    </w:p>
    <w:p>
      <w:pPr>
        <w:spacing w:after="0" w:line="1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discussion and analysis of the company’s financial condition and results of operations should be read in conjunction with the consolidated financial statements and the related notes included elsewhere in this quarterly report. In this discussion and analysis of the company’s financial condition and results of operations, the company has included information that may constitute “forward-looking” statements, as defined in the Private Securities Litigation Reform Act of 1995. Forward-looking statements provide current expectations of future events and include any statement that does not directly relate to any historical or current fact. Words such as “anticipates,” “believes,” “expects,” “intends,” “plans,” “projects” and similar expressions may identify such forward-looking statements. All forward-looking statements rely on assumptions and are subject to risks, uncertainties and other factors that could cause the company’s actual results to differ materially from expectations. Factors that could affect future results include, but are not limited to, those discussed under “Risk Factors” in Part II, Item 1A.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9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three months ended June 30, 2022, the company reported net loss attributable to Unisys Corporation of $17.1 million, or $0.25 per diluted share, compared with a loss of $140.8 million, or $2.10 per diluted share, for the three months ended June 30, 2021. Included in the loss for the three months ended June 30, 2021 were pension plan settlement losses net of tax of $159.0 million.</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six months ended June 30, 2022, the company reported net loss attributable to Unisys Corporation of $74.4 million, or $1.10 per diluted share, compared with a loss of $298.6 million, or $4.54 per diluted share, for the six months ended June 30, 2021. Included in the loss for the six months ended June 30, 2021 were pension plan settlement losses net of tax of $317.0 million.</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2022, Russian military forces launched significant military action against Ukraine. In response to this action, many governments around the world, including the U.S., imposed several financial and economic sanctions against Russia. While this conflict has not had a material impact to the company’s business, financial condition, or results of operation, the direct and indirect impacts of this evolving situation and its effect on global economies in future periods are difficult to predict.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with the three months ended June 30, 2021</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Revenue for the three months ended June 30, 2022 was $515.0 million compared with $517.3 million for the three months of 2021, a decrease of 0.4% from the prior year. Foreign currency fluctuations had a 3 percentage-point negative impact on revenue in the current period compared with the year-ago period.</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U.S. revenue increased 16.9% in the current period compared with the year-ago period. International revenue decreased 11.5% in the current period compared with the prior-year period principally due to decreases in Europe and Asia/Pacific. Foreign currency had a 5 percentage-point negative impact on international revenue in the three months ended June 30, 2022 compared with the three months ended June 30, 2021.</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June 30, 2022, the company recognized net cost-reduction charges and other costs of $3.1 million. The credit related to work-force reductions was $0.3 million for changes in estimates. In addition, the company recorded net charges of $3.4 million comprised of a charge of $1.8 million for net foreign currency losses related to exiting foreign countries, a charge of $0.9 million for asset impairments and a charge of $0.7 million for other expenses related to cost-reduction efforts.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June 30, 2021, the company recognized net cost-reduction charges and other costs of $5.1 million. The net credits related to work-force reductions were $0.3 million, principally related to severance costs, and were comprised of: (a) a charge of $2.9 million and (b) a credit of $3.2 million for changes in estimates. In addition, the company recorded net charges of $5.4 million comprised of a credit of $0.7 million for net foreign currency gains related to exiting foreign countries, a charge of $4.4 million for asset impairments and a charge of $1.7 million for other expenses related to cost reduction efforts.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charges (credits) were recorded in the following statement of income (loss) classifications: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60" w:type="dxa"/>
            <w:vAlign w:val="bottom"/>
          </w:tcPr>
          <w:p>
            <w:pPr>
              <w:spacing w:after="0"/>
              <w:rPr>
                <w:sz w:val="18"/>
                <w:szCs w:val="18"/>
                <w:color w:val="auto"/>
              </w:rPr>
            </w:pPr>
          </w:p>
        </w:tc>
        <w:tc>
          <w:tcPr>
            <w:tcW w:w="21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6"/>
                <w:szCs w:val="16"/>
                <w:color w:val="auto"/>
                <w:w w:val="94"/>
              </w:rPr>
              <w:t>Three Months Ended June 30,</w:t>
            </w:r>
          </w:p>
        </w:tc>
      </w:tr>
      <w:tr>
        <w:trPr>
          <w:trHeight w:val="226"/>
        </w:trPr>
        <w:tc>
          <w:tcPr>
            <w:tcW w:w="90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7"/>
              </w:rPr>
              <w:t>2.8</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color w:val="auto"/>
                <w:w w:val="87"/>
              </w:rPr>
              <w:t>2.6</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7"/>
              </w:rPr>
              <w:t>0.4</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7"/>
              </w:rPr>
              <w:t>(0.7)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7"/>
              </w:rPr>
              <w:t>5.1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margin was 28.8% in the three months ended June 30, 2022 compared with 27.5% in the three months ended June 30, 2021. The increase was principally due to higher software license renewals.</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Selling, general and administrative expense in the three months ended June 30, 2022 was $109.6 million (21.3% of revenue) compared with $94.6 million (18.3% of revenue) in the year-ago period. The change was primarily due to increased investments in sales and marketing.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(R&amp;D) expense for the three months ended June 30, 2022 and 2021 was $4.8 million and $6.8 million, respectively.</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June 30, 2022, the company reported an operating profit of $33.7 million compared with an operating profit of $40.8 million for prior year period. The decrease was largely driven by increased investments in sales and marketing as noted above.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three months ended June 30, 2022 was $8.3 million compared with $8.4 million for the three months ended June 30, 2021.</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net was expense of $21.9 million for the three months ended June 30, 2022 compared with expense of $227.8 million for the three months ended June 30, 2021. Other (expense), net for the three months ended June 30, 2021 included $210.7 million of pension settlement losses. See Note 7 of the Notes to Consolidated Financial Statements for details of other (expense), net.</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income before income taxes for the three months ended June 30, 2022 was $3.5 million compared with a loss of $195.4 million for the three months ended June 30, 2021. Included in the loss for the three months ended June 30, 2021 were pension plan settlement losses of $210.7 million.</w:t>
      </w:r>
    </w:p>
    <w:p>
      <w:pPr>
        <w:spacing w:after="0" w:line="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provision for income taxes was $20.3 million for the three months ended June 30, 2022 compared with a benefit of $53.1 million for the three months ended June 30, 2021. The prior year period included income tax benefits of $51.7 million related to the pension plan settlement losses in the Netherlands and Switzerland.</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loss attributable to Unisys Corporation for the three months ended June 30, 2022 was $17.1 million, or $0.25 per diluted share, compared with a loss of $140.8 million, or $2.10 per diluted share, for the three months ended June 30, 2021. Included in the loss for the three months ended June 30, 2021 were pension plan settlement losses net of tax of $159.0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with the six months ended June 30, 2021</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Revenue for the six months ended June 30, 2022 was $961.7 million compared with $1,027.1 million for the six months of 2021, a decrease of 6.4% from the prior year period. The decrease was primarily due to lower software license renewals. Foreign currency fluctuations had a 3 percentage-point negative impact on revenue in the current period compared with the year-ago period.</w:t>
      </w:r>
    </w:p>
    <w:p>
      <w:pPr>
        <w:spacing w:after="0" w:line="76"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U.S. revenue decreased 0.3% in the current period compared with the year-ago period. International revenue decreased 10.8% in the current period compared with the prior-year period due to decreases in Europe and Asia/Pacific. Foreign currency had a 5 percentage-point negative impact on international revenue in the six months ended June 30, 2022 compared with the six months ended June 30, 2021.</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2022, the company recognized net cost-reduction charges and other costs of $6.1 million. The credit related to work-force reductions was $0.9 million for changes in estimates. In addition, the company recorded net charges of $7.0 million comprised of a charge of $2.9 million for net foreign currency losses related to exiting foreign countries, a charge of $4.7 million for asset impairments and a credit of $0.6 million for changes in estimates related to cost-reduction efforts.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ind w:right="80"/>
        <w:spacing w:after="0" w:line="301" w:lineRule="auto"/>
        <w:rPr>
          <w:sz w:val="20"/>
          <w:szCs w:val="20"/>
          <w:color w:val="auto"/>
        </w:rPr>
      </w:pPr>
      <w:r>
        <w:rPr>
          <w:rFonts w:ascii="Arial" w:cs="Arial" w:eastAsia="Arial" w:hAnsi="Arial"/>
          <w:sz w:val="16"/>
          <w:szCs w:val="16"/>
          <w:color w:val="auto"/>
        </w:rPr>
        <w:t>During the six months ended June 30, 2021, the company recognized net cost-reduction charges and other costs of $13.6 million. The net credits related to work-force reductions were $1.9 million, principally related to severance costs, and were comprised of: (a) a charge of $5.8 million and (b) a credit of $7.7 million for changes in estimates. In addition, the company recorded charges of $15.5 million comprised of $1.6 million for net foreign currency losses related to exiting foreign countries, $6.8 million for asset impairments and $7.1 million for other expenses related to cost-reduction efforts.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charges (credits) were recorded in the following statement of income (loss) classifications: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6"/>
                <w:szCs w:val="16"/>
                <w:color w:val="auto"/>
                <w:w w:val="90"/>
              </w:rPr>
              <w:t>Six Months Ended June 30,</w:t>
            </w:r>
          </w:p>
        </w:tc>
      </w:tr>
      <w:tr>
        <w:trPr>
          <w:trHeight w:val="226"/>
        </w:trPr>
        <w:tc>
          <w:tcPr>
            <w:tcW w:w="9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87"/>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1"/>
              <w:spacing w:after="0"/>
              <w:rPr>
                <w:sz w:val="20"/>
                <w:szCs w:val="20"/>
                <w:color w:val="auto"/>
              </w:rPr>
            </w:pPr>
            <w:r>
              <w:rPr>
                <w:rFonts w:ascii="Arial" w:cs="Arial" w:eastAsia="Arial" w:hAnsi="Arial"/>
                <w:sz w:val="18"/>
                <w:szCs w:val="18"/>
                <w:color w:val="auto"/>
                <w:w w:val="87"/>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431"/>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margin was 24.5% in the six months ended June 30, 2022 compared with 27.4% in the six months ended June 30, 2021. The decrease was primarily due to lower software license renewals.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Selling, general and administrative expense in the six months ended June 30, 2022 was $214.0 million (22.3% of revenue) compared with $184.6 million (18.0% of revenue) in the year-ago period. The change was primarily due to increased investments in sales and marketing.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(R&amp;D) expense for the six months ended June 30, 2022 and 2021 was $11.3 million and $12.4 million, respectively.</w:t>
      </w:r>
    </w:p>
    <w:p>
      <w:pPr>
        <w:spacing w:after="0" w:line="1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six months ended June 30, 2022, the company reported an operating profit of $10.2 million compared with an operating profit of $84.4 million for the prior-year period. The decrease was due in part by lower software license renewals and increased investments in sales and marketing.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six months ended June 30, 2022 was $16.7 million compared with $18.5 million for the six months ended June 30, 2021.</w:t>
      </w:r>
    </w:p>
    <w:p>
      <w:pPr>
        <w:spacing w:after="0" w:line="1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Other (expense), net was expense of $42.9 million for the six months ended June 30, 2022 compared with expense of $410.4 million for the six months ended June 30, 2021. Other (expense), net for the six months ended June 30, 2021 included $368.7 million of pension plan settlement losses. See Note 7 of the Notes to Consolidated Financial Statements.</w:t>
      </w:r>
    </w:p>
    <w:p>
      <w:pPr>
        <w:spacing w:after="0" w:line="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loss before income taxes for the six months ended June 30, 2022 was $49.4 million compared with a loss of $344.5 million for the six months ended June 30, 2021. Included in the loss for the six months ended June 30, 2021 were pension plan settlement losses of $368.7 million.</w:t>
      </w:r>
    </w:p>
    <w:p>
      <w:pPr>
        <w:spacing w:after="0" w:line="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provision for income taxes was $24.4 million for the six months ended June 30, 2022 compared with a benefit of $44.7 million for the six months ended June 30, 2021. The prior year period included income tax benefits of $51.7 million related to the pension plan settlement losses in the Netherlands and Switzerland.</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auto"/>
        </w:rPr>
        <w:t>The realization of the company’s net deferred tax assets as of June 30,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It is at least reasonably possible that the company’s judgment about the need for, and level of, existing valuation allowances could change in the near term based on changes in objective evidence such as further sustained income or loss in certain jurisdictions, as well as the other factors discussed above, primarily in certain jurisdictions outside of the United States. As such, the company will continue to monitor income levels and mix among jurisdictions, potential changes to the company’s operating and tax model, and other legislative or global developments in its determination. It is reasonably possible that such changes could result in a material impact to the company’s valuation allowance within the next 12 months. Any increase or decrease in the valuation allowance would result in additional or lower income tax expense in that period and could have a significant impact on that period’s earnings.</w:t>
      </w:r>
    </w:p>
    <w:p>
      <w:pPr>
        <w:spacing w:after="0" w:line="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loss attributable to Unisys Corporation for the six months ended June 30, 2022 was $74.4 million, or $1.10 per diluted share, compared with a loss of $298.6 million, or $4.54 per diluted share, for the six months ended June 30, 2021. Included in the loss for the six months ended June 30, 2021 were pension plan settlement losses net of tax of $317.0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and Infrastructure Solutions to better represent the nature of the segment’s operations. There was no change to the composition of the segment or its historical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Workplace Solutions (DWS), which provides modern and traditional workplace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Cloud, Applications and Infrastructure Solutions (CA&amp;I), which provides digital platform, applications, and infrastructure solutions; and</w:t>
      </w:r>
    </w:p>
    <w:p>
      <w:pPr>
        <w:spacing w:after="0" w:line="128"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Enterprise Computing Solutions (ECS), which provides solutions that harness secure, continuous high-intensity computing and enable digital services through software-defined operating environments.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six months ended June 30, 2021 was $0.4 million and $1.1 million, respectively. The sales and profit on these transactions are eliminated in consolidation.</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Three months ended June 30, 2022 compared with the three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operations by segment is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color w:val="auto"/>
              </w:rPr>
              <w:t>DWS</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color w:val="auto"/>
              </w:rPr>
              <w:t>CA&amp;I</w:t>
            </w: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Arial" w:cs="Arial" w:eastAsia="Arial" w:hAnsi="Arial"/>
                <w:sz w:val="16"/>
                <w:szCs w:val="16"/>
                <w:color w:val="auto"/>
              </w:rPr>
              <w:t>ECS</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Gross profit percent is as a percent of total revenue.</w:t>
      </w:r>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DWS revenue was $127.2 million for the three months ended June 30, 2022, a decline of 14.3% compared with the three months ended June 30, 2021. Revenue for the three months ended June 30, 2022 was negatively impacted by the run-off effect of certain non-strategic contracts that the company exited in 2021. Foreign currency fluctuations had a 3 percentage-point negative impact on DWS revenue in the current period compared with the year-ago period. Gross profit percent was 13.0% in the current period compared with 15.4% in the year-ago period. The decrease in gross profit for the three months ended June 30, 2022 compared with the year-ago period was largely driven by higher cost of labor due to the competitive talent market.</w:t>
      </w:r>
    </w:p>
    <w:p>
      <w:pPr>
        <w:spacing w:after="0" w:line="5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CA&amp;I revenue was $130.1 million for the three months ended June 30, 2022, an increase of 6.9% compared with the three months ended June 30, 2021. Foreign currency fluctuations had a 2 percentage-point negative impact on CA&amp;I revenue in the current period compared with the year-ago period. Gross profit percent was 5.5% in the current period compared with 11.1% in the year-ago period. The decrease in gross profit was primarily due to higher labor costs.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ECS revenue was $185.8 million for the three months ended June 30, 2022, an increase of 8.3% compared with the three months ended June 30, 2021. Foreign currency fluctuations had a 3 percentage-point negative impact on ECS revenue in the current period compared with the year-ago period. Gross profit percent was 66.2% in the current period compared with 61.6% in the year ago period. The increase in both revenue and gross profit was principally due to higher software license renewals.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with the six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operations by segment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color w:val="auto"/>
              </w:rPr>
              <w:t>DWS</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color w:val="auto"/>
              </w:rPr>
              <w:t>CA&amp;I</w:t>
            </w: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Arial" w:cs="Arial" w:eastAsia="Arial" w:hAnsi="Arial"/>
                <w:sz w:val="16"/>
                <w:szCs w:val="16"/>
                <w:color w:val="auto"/>
              </w:rPr>
              <w:t>ECS</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60.6 %</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Intersegment</w:t>
            </w: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Gross profit percent is as a percent of total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ind w:right="20"/>
        <w:spacing w:after="0" w:line="296" w:lineRule="auto"/>
        <w:rPr>
          <w:sz w:val="20"/>
          <w:szCs w:val="20"/>
          <w:color w:val="auto"/>
        </w:rPr>
      </w:pPr>
      <w:r>
        <w:rPr>
          <w:rFonts w:ascii="Arial" w:cs="Arial" w:eastAsia="Arial" w:hAnsi="Arial"/>
          <w:sz w:val="16"/>
          <w:szCs w:val="16"/>
          <w:color w:val="auto"/>
        </w:rPr>
        <w:t>DWS revenue was $252.0 million for the six months ended June 30, 2022, a decline of 13.5% compared with the six months ended June 30, 2021. Revenue for the six months ended June 30, 2022 was negatively impacted by the run-off effect of certain non-strategic contracts that the company exited in 2021. Foreign currency fluctuations had a 2 percentage-point negative impact on DWS revenue in the current period compared with the year-ago period. Gross profit percent was 12.9% in the current period compared with 14.4% in the year-ago period. The decrease in gross profit for the six months ended June 30, 2022 compared with the year-ago period was largely driven by higher cost of labor due to the competitive talent market.</w:t>
      </w:r>
    </w:p>
    <w:p>
      <w:pPr>
        <w:spacing w:after="0" w:line="5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CA&amp;I revenue was $259.2 million for the six-months ended June 30, 2022, an increase of 6.9% compared with the six months ended June 30, 2021. Foreign currency fluctuations had a 2 percentage-point negative impact on CA&amp;I revenue in the current period compared with the year-ago period. Gross profit percent was 5.4% in the current period compared with 9.7% in the year ago period. The decrease in gross profit was primarily due to higher labor costs and additional expense recognized associated with certain contracts.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ECS revenue was $306.4 million for the six months ended June 30, 2022, an decline of 10.1% compared with the six months ended June 30, 2021. Foreign currency fluctuations had a 2 percentage-point negative impact on ECS revenue in the current period compared with the year-ago period. Gross profit percent was 60.6% in the current period compared with 61.6% in the year ago period. The decrease in both revenue and gross profit was principally due to lower software license renewals.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12 months.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June 30, 2022 were $380.1 million compared to $552.9 million at December 31, 2021.</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June 30, 2022, $294.9 million of cash and cash equivalents were held by the company’s foreign subsidiaries and branches operating outside of the U.S. The company may not be able to readily transfer up to one-third of these funds out of the country in which they are located as a result of local restrictions, contractual or other legal arrangements or commercial considerations. Additionally, any transfers of these funds to the U.S. in the future may require the company to accrue or pay withholding or other taxes on a portion of the amount transferred.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June 30, 2022, cash used for operations was $66.7 million compared to cash usage of $1.0 million during the six months ended June 30, 2021.</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Cash used for investing activities during the six months ended June 30, 2022 was $74.4 million compared to cash usage of $201.7 million during the six months ended June 30, 2021. Cash usage during the six months ended June 30, 2021 included $150.1 million for acquisitions. Net purchases of investments were $29.6 million for the six months ended June 30, 2022 compared with net purchases of $0.8 million in the prior-year period. Proceeds from investments and purchases of investments represent derivative financial instruments used to reduce the company’s currency exposure to market risks from changes in foreign currency exchange rates. In the current period, the investment in marketable software was $23.6 million compared with $29.7 million in the year-ago period, capital additions of properties were $14.0 million compared with $12.0 million in the year-ago period and capital additions of outsourcing assets were $6.5 million compared with $8.7 million in the year-ago period.</w:t>
      </w:r>
    </w:p>
    <w:p>
      <w:pPr>
        <w:spacing w:after="0" w:line="6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Cash used for financing activities during the six months ended June 30, 2022 was $15.0 million compared to cash used of $97.9 million during the six months ended June 30, 2021. The decrease in cash used was principally due to redemptions of debt in the prior year period.</w:t>
      </w:r>
    </w:p>
    <w:p>
      <w:pPr>
        <w:spacing w:after="0" w:line="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2022, the company expects to make cash contributions of approximately $39.3 million primarily for its international defined benefit pension plans. In 2021, the company made cash contributions of $52.4 million to its worldwide defined benefit pension plans. For the six months ended June 30, 2022 and 2021, the company made cash contributions of $23.3 million and $30.3 million, respectively.</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defined benefit pension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total debt was $519.6 million compared to $529.4 million at December 31,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0" w:name="page31"/>
    <w:bookmarkEnd w:id="30"/>
    <w:p>
      <w:pPr>
        <w:spacing w:after="0" w:line="293" w:lineRule="auto"/>
        <w:rPr>
          <w:sz w:val="20"/>
          <w:szCs w:val="20"/>
          <w:color w:val="auto"/>
        </w:rPr>
      </w:pPr>
      <w:r>
        <w:rPr>
          <w:rFonts w:ascii="Arial" w:cs="Arial" w:eastAsia="Arial" w:hAnsi="Arial"/>
          <w:sz w:val="16"/>
          <w:szCs w:val="16"/>
          <w:color w:val="auto"/>
        </w:rPr>
        <w:t>In March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secured revolving credit facility (the Amended and Restated ABL Credit Facility) that expires on October 29, 2025 that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June 30, 2022, the company had no borrowings and $6.3 million of letters of credit outstanding, and availability under the facility was $74.7 million net of letters of credit issued.</w:t>
      </w:r>
    </w:p>
    <w:p>
      <w:pPr>
        <w:spacing w:after="0" w:line="5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Restarted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Amended and Restated ABL Credit Facility is guaranteed by Unisys Holding Corporation, Unisys NPL, Inc., Unisys AP Investment Company I, CompuGain LLC and CompuGain Public Services, LLC, each of which is a U.S. corporation or limited liability company that is directly or indirectly owned by the company (the subsidiary guarantors).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30, 2022, the company has met all covenants and conditions under its various lending and funding agreements. For at least the next 12 months, the company expects to continue to meet these covenants and conditions.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maintains a shelf registration statement with the Securities and Exchange Commission that covers the offer and sale of debt or equity securities. Subject to the company’s ongoing compliance with securities laws, the company may offer and sell debt and equity securities from time to time under the shelf registration statement. In addition, from time to time, the company may explore a variety of institutional debt and equity sources to fund its liquidity and capital needs.</w:t>
      </w:r>
    </w:p>
    <w:p>
      <w:pPr>
        <w:spacing w:after="0" w:line="1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may, from time to time, redeem, tender for, or repurchase its securities in the open market or in privately negotiated transactions depending upon availability, market conditions and other factors.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company’s assessment of its sensitivity to market risk since its disclosure in its 2021 Form 10-K.</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this evaluation, the company’s Chief Executive Officer and Chief Financial Officer concluded that, as of the end of such period, the company’s disclosure controls and procedures are effective. There were no changes in the company’s internal control over financial reporting (as such term is defined in Rules 13a-15(f) and 15d-15(f) under the Exchange Act) that occurred during the fiscal quarter to which this report relates that has materially affected, or is reasonably likely to materially affect, the company’s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32" w:name="page33"/>
    <w:bookmarkEnd w:id="32"/>
    <w:p>
      <w:pPr>
        <w:spacing w:after="0"/>
        <w:rPr>
          <w:sz w:val="20"/>
          <w:szCs w:val="20"/>
          <w:color w:val="auto"/>
        </w:rPr>
      </w:pPr>
      <w:r>
        <w:rPr>
          <w:rFonts w:ascii="Arial" w:cs="Arial" w:eastAsia="Arial" w:hAnsi="Arial"/>
          <w:sz w:val="29"/>
          <w:szCs w:val="29"/>
          <w:b w:val="1"/>
          <w:bCs w:val="1"/>
          <w:color w:val="auto"/>
        </w:rPr>
        <w:t>Part II -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litigation is set forth in Note 15 of the Notes to Consolidated Financial Statements, and such information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“Risk Factors” in Part I, Item 1A of the company’s 2021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PURSUANT TO THE U.S. PRIVATE SECURITIES LITIGATION REFORM ACT OF 1995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Risks and uncertainties that could cause the company’s future results to differ materially from those expressed in “forward-looking” statements include: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Business Strategy in Information Technology Market</w:t>
      </w:r>
    </w:p>
    <w:p>
      <w:pPr>
        <w:spacing w:after="0" w:line="9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experienced personnel in key positions;</w:t>
      </w:r>
    </w:p>
    <w:p>
      <w:pPr>
        <w:spacing w:after="0" w:line="103"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revenue and expand margin in our Digital Workplace Solutions and Cloud, Applications and Infrastructure Solutions businesses;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installed base and sell new solutions and related services;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and financial risk in implementing acquisitions or dispositions;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adverse effects of aggressive competition in the information services and technology market;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anticipate and respond to rapid technological innovation in our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significant clients and attract new clients;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contracts may not be as profitable as expected or provide the expected level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or acquire the capabilities to enhance the company’s 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significant underfunded pension obligations;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General Business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our business, growth, reputation, projections, financial condition, operations, cash flows and liquidity;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and capabilities of third parties with whom we have commercial relationships;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 breaches could result in incurring significant costs and could harm our business and reputation;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failure to meet standards or expectations with respect to the company’s environmental, social and governance practices;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of doing business internationally when a significant portion of our revenue is derived from international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financing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our credit rating;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adverse effects of global economic conditions, acts of war, terrorism, natural disasters or the widespread outbreak of infectious diseases;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disruption in our IT systems could adversely affect our business and reputation;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damage to our reputation or legal liability if our clients are not satisfied with our services or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intellectual property infringement claims to be asserted against us or our clients;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possibility that legal proceedings could affect our results of operations or cash flow or may adversely affect our business or reputation; and</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Tax Assets</w:t>
      </w:r>
    </w:p>
    <w:p>
      <w:pPr>
        <w:spacing w:after="0" w:line="90" w:lineRule="exact"/>
        <w:rPr>
          <w:sz w:val="20"/>
          <w:szCs w:val="20"/>
          <w:color w:val="auto"/>
        </w:rPr>
      </w:pPr>
    </w:p>
    <w:p>
      <w:pPr>
        <w:ind w:right="2219" w:firstLine="332"/>
        <w:spacing w:after="0" w:line="465" w:lineRule="auto"/>
        <w:tabs>
          <w:tab w:leader="none" w:pos="643"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use our net operating loss carryforwards and certain other tax attributes may be limited. Other factors discussed in this report, although not listed here, also could materially affect our future results.</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Exhibit Index</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7" w:right="1440" w:bottom="1440" w:gutter="0" w:footer="0" w:header="0"/>
        </w:sectPr>
      </w:pPr>
    </w:p>
    <w:bookmarkStart w:id="34" w:name="page35"/>
    <w:bookmarkEnd w:id="3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20" w:type="dxa"/>
            <w:vAlign w:val="bottom"/>
            <w:gridSpan w:val="2"/>
          </w:tcPr>
          <w:p>
            <w:pPr>
              <w:ind w:left="3160"/>
              <w:spacing w:after="0"/>
              <w:rPr>
                <w:sz w:val="20"/>
                <w:szCs w:val="20"/>
                <w:color w:val="auto"/>
              </w:rPr>
            </w:pPr>
            <w:r>
              <w:rPr>
                <w:rFonts w:ascii="Arial" w:cs="Arial" w:eastAsia="Arial" w:hAnsi="Arial"/>
                <w:sz w:val="22"/>
                <w:szCs w:val="22"/>
                <w:b w:val="1"/>
                <w:bCs w:val="1"/>
                <w:color w:val="auto"/>
              </w:rPr>
              <w:t>EXHIBIT INDEX</w:t>
            </w:r>
          </w:p>
        </w:tc>
      </w:tr>
      <w:tr>
        <w:trPr>
          <w:trHeight w:val="530"/>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20" w:type="dxa"/>
            <w:vAlign w:val="bottom"/>
            <w:gridSpan w:val="2"/>
          </w:tcPr>
          <w:p>
            <w:pPr>
              <w:spacing w:after="0"/>
              <w:rPr>
                <w:sz w:val="24"/>
                <w:szCs w:val="24"/>
                <w:color w:val="auto"/>
              </w:rPr>
            </w:pPr>
          </w:p>
        </w:tc>
      </w:tr>
      <w:tr>
        <w:trPr>
          <w:trHeight w:val="223"/>
        </w:trPr>
        <w:tc>
          <w:tcPr>
            <w:tcW w:w="162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Exhibit Number</w:t>
            </w:r>
          </w:p>
        </w:tc>
        <w:tc>
          <w:tcPr>
            <w:tcW w:w="9580" w:type="dxa"/>
            <w:vAlign w:val="bottom"/>
            <w:tcBorders>
              <w:top w:val="single" w:sz="8" w:color="auto"/>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19"/>
                <w:szCs w:val="19"/>
                <w:color w:val="auto"/>
              </w:rPr>
            </w:pPr>
          </w:p>
        </w:tc>
      </w:tr>
      <w:tr>
        <w:trPr>
          <w:trHeight w:val="223"/>
        </w:trPr>
        <w:tc>
          <w:tcPr>
            <w:tcW w:w="460" w:type="dxa"/>
            <w:vAlign w:val="bottom"/>
            <w:gridSpan w:val="3"/>
          </w:tcPr>
          <w:p>
            <w:pPr>
              <w:ind w:left="14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2"/>
              </w:rPr>
              <w:t>Restated Certificate of Incorporation of Unisys Corporation (incorporated by reference to Exhibit 3.1 to the registrant’s Current</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Report on Form 8-K filed on April 30, 2010)</w:t>
            </w:r>
          </w:p>
        </w:tc>
      </w:tr>
      <w:tr>
        <w:trPr>
          <w:trHeight w:val="229"/>
        </w:trPr>
        <w:tc>
          <w:tcPr>
            <w:tcW w:w="460" w:type="dxa"/>
            <w:vAlign w:val="bottom"/>
            <w:gridSpan w:val="3"/>
          </w:tcPr>
          <w:p>
            <w:pPr>
              <w:ind w:left="140"/>
              <w:spacing w:after="0"/>
              <w:rPr>
                <w:rFonts w:ascii="Arial" w:cs="Arial" w:eastAsia="Arial" w:hAnsi="Arial"/>
                <w:sz w:val="18"/>
                <w:szCs w:val="18"/>
                <w:color w:val="0000FF"/>
              </w:rPr>
            </w:pPr>
            <w:hyperlink r:id="rId5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6"/>
              </w:rPr>
              <w:t>Certificate of Amendment of the Restated Certificate of Incorporation of Unisys Corporation (incorporated by reference to</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Exhibit 3.1 to the registrant’s Current Report on Form 8-K filed on April 28, 2011)</w:t>
            </w:r>
          </w:p>
        </w:tc>
      </w:tr>
      <w:tr>
        <w:trPr>
          <w:trHeight w:val="229"/>
        </w:trPr>
        <w:tc>
          <w:tcPr>
            <w:tcW w:w="460" w:type="dxa"/>
            <w:vAlign w:val="bottom"/>
            <w:gridSpan w:val="3"/>
          </w:tcPr>
          <w:p>
            <w:pPr>
              <w:ind w:left="140"/>
              <w:spacing w:after="0"/>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6"/>
              </w:rPr>
              <w:t>Certificate of Amendment of the Restated Certificate of Incorporation of Unisys Corporation (incorporated by reference to</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Exhibit 3.1 to the registrant’s Current Report on Form 8-K filed on April 28, 2017)</w:t>
            </w:r>
          </w:p>
        </w:tc>
      </w:tr>
      <w:tr>
        <w:trPr>
          <w:trHeight w:val="229"/>
        </w:trPr>
        <w:tc>
          <w:tcPr>
            <w:tcW w:w="460" w:type="dxa"/>
            <w:vAlign w:val="bottom"/>
            <w:gridSpan w:val="3"/>
          </w:tcPr>
          <w:p>
            <w:pPr>
              <w:ind w:left="140"/>
              <w:spacing w:after="0"/>
              <w:rPr>
                <w:rFonts w:ascii="Arial" w:cs="Arial" w:eastAsia="Arial" w:hAnsi="Arial"/>
                <w:sz w:val="18"/>
                <w:szCs w:val="18"/>
                <w:color w:val="0000FF"/>
              </w:rPr>
            </w:pPr>
            <w:hyperlink r:id="rId60">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3"/>
              </w:rPr>
              <w:t>Bylaws of Unisys Corporation, as amended through May 10, 2019 (incorporated by reference to Exhibit 3.1 to the registrant’s</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Current Report on Form 8-K filed on May 15, 2019)</w:t>
            </w:r>
          </w:p>
        </w:tc>
      </w:tr>
      <w:tr>
        <w:trPr>
          <w:trHeight w:val="229"/>
        </w:trPr>
        <w:tc>
          <w:tcPr>
            <w:tcW w:w="140" w:type="dxa"/>
            <w:vAlign w:val="bottom"/>
          </w:tcPr>
          <w:p>
            <w:pPr>
              <w:spacing w:after="0"/>
              <w:rPr>
                <w:sz w:val="19"/>
                <w:szCs w:val="19"/>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Certification of Peter A. Altabef required by Rule 13a-14(a) or Rule 15d-14(a)</w:t>
            </w: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160" w:type="dxa"/>
            <w:vAlign w:val="bottom"/>
          </w:tcPr>
          <w:p>
            <w:pPr>
              <w:spacing w:after="0"/>
              <w:rPr>
                <w:sz w:val="22"/>
                <w:szCs w:val="22"/>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Certification of Debra McCann required by Rule 13a-14(a) or Rule 15d-14(a)</w:t>
            </w:r>
          </w:p>
        </w:tc>
      </w:tr>
      <w:tr>
        <w:trPr>
          <w:trHeight w:val="263"/>
        </w:trPr>
        <w:tc>
          <w:tcPr>
            <w:tcW w:w="460" w:type="dxa"/>
            <w:vAlign w:val="bottom"/>
            <w:gridSpan w:val="3"/>
          </w:tcPr>
          <w:p>
            <w:pPr>
              <w:ind w:left="14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160" w:type="dxa"/>
            <w:vAlign w:val="bottom"/>
          </w:tcPr>
          <w:p>
            <w:pPr>
              <w:spacing w:after="0"/>
              <w:rPr>
                <w:sz w:val="22"/>
                <w:szCs w:val="22"/>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4"/>
              </w:rPr>
              <w:t>Certification of Peter A. Altabef required by Rule 13a-14(b) or Rule 15d-14(b) and Section 906 of the Sarbanes-Oxley Act of</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2002, 18 U.S.C. Section 1350</w:t>
            </w:r>
          </w:p>
        </w:tc>
      </w:tr>
      <w:tr>
        <w:trPr>
          <w:trHeight w:val="229"/>
        </w:trPr>
        <w:tc>
          <w:tcPr>
            <w:tcW w:w="460" w:type="dxa"/>
            <w:vAlign w:val="bottom"/>
            <w:gridSpan w:val="3"/>
          </w:tcPr>
          <w:p>
            <w:pPr>
              <w:ind w:left="140"/>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4"/>
              </w:rPr>
              <w:t>Certification of Debra McCann required by Rule 13a-14(b) or Rule 15d-14(b) and Section 906 of the Sarbanes-Oxley Act of</w:t>
            </w:r>
          </w:p>
        </w:tc>
      </w:tr>
      <w:tr>
        <w:trPr>
          <w:trHeight w:val="210"/>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2002, 18 U.S.C. Section 1350</w:t>
            </w:r>
          </w:p>
        </w:tc>
      </w:tr>
      <w:tr>
        <w:trPr>
          <w:trHeight w:val="215"/>
        </w:trPr>
        <w:tc>
          <w:tcPr>
            <w:tcW w:w="460" w:type="dxa"/>
            <w:vAlign w:val="bottom"/>
            <w:gridSpan w:val="3"/>
          </w:tcPr>
          <w:p>
            <w:pPr>
              <w:ind w:left="140"/>
              <w:spacing w:after="0"/>
              <w:rPr>
                <w:sz w:val="20"/>
                <w:szCs w:val="20"/>
                <w:color w:val="auto"/>
              </w:rPr>
            </w:pPr>
            <w:r>
              <w:rPr>
                <w:rFonts w:ascii="Arial" w:cs="Arial" w:eastAsia="Arial" w:hAnsi="Arial"/>
                <w:sz w:val="18"/>
                <w:szCs w:val="18"/>
                <w:color w:val="auto"/>
                <w:w w:val="99"/>
              </w:rPr>
              <w:t>101</w:t>
            </w: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4"/>
              </w:rPr>
              <w:t>The following financial information from Unisys Corporation’s Quarterly Report on Form 10-Q for the quarter ended June 30,</w:t>
            </w:r>
          </w:p>
        </w:tc>
      </w:tr>
      <w:tr>
        <w:trPr>
          <w:trHeight w:val="176"/>
        </w:trPr>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3"/>
              </w:rPr>
              <w:t>2022 formatted in iXBRL (Inline Extensible Business Reporting Language): (i) Consolidated Statements of Income (Loss), (ii)</w:t>
            </w:r>
          </w:p>
        </w:tc>
      </w:tr>
      <w:tr>
        <w:trPr>
          <w:trHeight w:val="176"/>
        </w:trPr>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2"/>
              </w:rPr>
              <w:t>Consolidated Statements of Comprehensive Income (Loss), (iii) Consolidated Balance Sheets, (iv) Consolidated Statements of</w:t>
            </w:r>
          </w:p>
        </w:tc>
      </w:tr>
      <w:tr>
        <w:trPr>
          <w:trHeight w:val="230"/>
        </w:trPr>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Cash Flows, (v) Consolidated Statements of Deficit, and (vi) Notes to Consolidated Financial Statements</w:t>
            </w:r>
          </w:p>
        </w:tc>
      </w:tr>
      <w:tr>
        <w:trPr>
          <w:trHeight w:val="229"/>
        </w:trPr>
        <w:tc>
          <w:tcPr>
            <w:tcW w:w="460" w:type="dxa"/>
            <w:vAlign w:val="bottom"/>
            <w:gridSpan w:val="3"/>
          </w:tcPr>
          <w:p>
            <w:pPr>
              <w:ind w:left="140"/>
              <w:spacing w:after="0"/>
              <w:rPr>
                <w:sz w:val="20"/>
                <w:szCs w:val="20"/>
                <w:color w:val="auto"/>
              </w:rPr>
            </w:pPr>
            <w:r>
              <w:rPr>
                <w:rFonts w:ascii="Arial" w:cs="Arial" w:eastAsia="Arial" w:hAnsi="Arial"/>
                <w:sz w:val="18"/>
                <w:szCs w:val="18"/>
                <w:color w:val="auto"/>
                <w:w w:val="99"/>
              </w:rPr>
              <w:t>104</w:t>
            </w:r>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6"/>
              </w:rPr>
              <w:t>Cover page Interactive Data File (the cover page XBRL tags are embedded within the iXBRL (Inline Extensible Business</w:t>
            </w:r>
          </w:p>
        </w:tc>
      </w:tr>
      <w:tr>
        <w:trPr>
          <w:trHeight w:val="230"/>
        </w:trPr>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Reporting Language) document)</w:t>
            </w:r>
          </w:p>
        </w:tc>
      </w:tr>
      <w:tr>
        <w:trPr>
          <w:trHeight w:val="499"/>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580" w:type="dxa"/>
            <w:vAlign w:val="bottom"/>
          </w:tcPr>
          <w:p>
            <w:pPr>
              <w:ind w:left="39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466"/>
        </w:trPr>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80" w:type="dxa"/>
            <w:vAlign w:val="bottom"/>
            <w:gridSpan w:val="3"/>
          </w:tcPr>
          <w:p>
            <w:pPr>
              <w:ind w:left="2160"/>
              <w:spacing w:after="0"/>
              <w:rPr>
                <w:sz w:val="20"/>
                <w:szCs w:val="20"/>
                <w:color w:val="auto"/>
              </w:rPr>
            </w:pPr>
            <w:r>
              <w:rPr>
                <w:rFonts w:ascii="Arial" w:cs="Arial" w:eastAsia="Arial" w:hAnsi="Arial"/>
                <w:sz w:val="18"/>
                <w:szCs w:val="18"/>
                <w:color w:val="auto"/>
              </w:rPr>
              <w:t>UNISYS CORPORATION</w:t>
            </w:r>
          </w:p>
        </w:tc>
      </w:tr>
      <w:tr>
        <w:trPr>
          <w:trHeight w:val="499"/>
        </w:trPr>
        <w:tc>
          <w:tcPr>
            <w:tcW w:w="3520" w:type="dxa"/>
            <w:vAlign w:val="bottom"/>
          </w:tcPr>
          <w:p>
            <w:pPr>
              <w:spacing w:after="0"/>
              <w:rPr>
                <w:sz w:val="20"/>
                <w:szCs w:val="20"/>
                <w:color w:val="auto"/>
              </w:rPr>
            </w:pPr>
            <w:r>
              <w:rPr>
                <w:rFonts w:ascii="Arial" w:cs="Arial" w:eastAsia="Arial" w:hAnsi="Arial"/>
                <w:sz w:val="18"/>
                <w:szCs w:val="18"/>
                <w:color w:val="auto"/>
              </w:rPr>
              <w:t>Date: August 3, 2022</w:t>
            </w:r>
          </w:p>
        </w:tc>
        <w:tc>
          <w:tcPr>
            <w:tcW w:w="3060" w:type="dxa"/>
            <w:vAlign w:val="bottom"/>
          </w:tcPr>
          <w:p>
            <w:pPr>
              <w:ind w:left="21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Debra McCann</w:t>
            </w:r>
          </w:p>
        </w:tc>
      </w:tr>
      <w:tr>
        <w:trPr>
          <w:trHeight w:val="222"/>
        </w:trPr>
        <w:tc>
          <w:tcPr>
            <w:tcW w:w="3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Debra McCann</w:t>
            </w:r>
          </w:p>
        </w:tc>
      </w:tr>
      <w:tr>
        <w:trPr>
          <w:trHeight w:val="229"/>
        </w:trPr>
        <w:tc>
          <w:tcPr>
            <w:tcW w:w="3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16"/>
        </w:trPr>
        <w:tc>
          <w:tcPr>
            <w:tcW w:w="3520" w:type="dxa"/>
            <w:vAlign w:val="bottom"/>
          </w:tcPr>
          <w:p>
            <w:pPr>
              <w:spacing w:after="0"/>
              <w:rPr>
                <w:sz w:val="24"/>
                <w:szCs w:val="24"/>
                <w:color w:val="auto"/>
              </w:rPr>
            </w:pPr>
          </w:p>
        </w:tc>
        <w:tc>
          <w:tcPr>
            <w:tcW w:w="3060" w:type="dxa"/>
            <w:vAlign w:val="bottom"/>
          </w:tcPr>
          <w:p>
            <w:pPr>
              <w:ind w:left="21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Erin Mannix</w:t>
            </w:r>
          </w:p>
        </w:tc>
      </w:tr>
      <w:tr>
        <w:trPr>
          <w:trHeight w:val="222"/>
        </w:trPr>
        <w:tc>
          <w:tcPr>
            <w:tcW w:w="3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Erin Mannix</w:t>
            </w:r>
          </w:p>
        </w:tc>
      </w:tr>
      <w:tr>
        <w:trPr>
          <w:trHeight w:val="230"/>
        </w:trPr>
        <w:tc>
          <w:tcPr>
            <w:tcW w:w="3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13"/>
        </w:trPr>
        <w:tc>
          <w:tcPr>
            <w:tcW w:w="3520" w:type="dxa"/>
            <w:vAlign w:val="bottom"/>
          </w:tcPr>
          <w:p>
            <w:pPr>
              <w:spacing w:after="0"/>
              <w:rPr>
                <w:sz w:val="24"/>
                <w:szCs w:val="24"/>
                <w:color w:val="auto"/>
              </w:rPr>
            </w:pPr>
          </w:p>
        </w:tc>
        <w:tc>
          <w:tcPr>
            <w:tcW w:w="3060" w:type="dxa"/>
            <w:vAlign w:val="bottom"/>
          </w:tcPr>
          <w:p>
            <w:pPr>
              <w:jc w:val="right"/>
              <w:ind w:right="79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220"/>
          </w:cols>
          <w:pgMar w:left="320" w:top="1111" w:right="35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Exhibit 31.1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Peter A. Altabef,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Unisys Corporation;</w:t>
      </w:r>
    </w:p>
    <w:p>
      <w:pPr>
        <w:spacing w:after="0" w:line="225"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2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63"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10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Altabef</w:t>
            </w:r>
          </w:p>
        </w:tc>
        <w:tc>
          <w:tcPr>
            <w:tcW w:w="0" w:type="dxa"/>
            <w:vAlign w:val="bottom"/>
          </w:tcPr>
          <w:p>
            <w:pPr>
              <w:spacing w:after="0"/>
              <w:rPr>
                <w:sz w:val="1"/>
                <w:szCs w:val="1"/>
                <w:color w:val="auto"/>
              </w:rPr>
            </w:pPr>
          </w:p>
        </w:tc>
      </w:tr>
      <w:tr>
        <w:trPr>
          <w:trHeight w:val="222"/>
        </w:trPr>
        <w:tc>
          <w:tcPr>
            <w:tcW w:w="1040" w:type="dxa"/>
            <w:vAlign w:val="bottom"/>
            <w:vMerge w:val="continue"/>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Peter A. Altabef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rPr>
                <w:sz w:val="20"/>
                <w:szCs w:val="20"/>
                <w:color w:val="auto"/>
              </w:rPr>
            </w:pPr>
            <w:r>
              <w:rPr>
                <w:rFonts w:ascii="Arial" w:cs="Arial" w:eastAsia="Arial" w:hAnsi="Arial"/>
                <w:sz w:val="18"/>
                <w:szCs w:val="18"/>
                <w:color w:val="auto"/>
              </w:rPr>
              <w:t>Chair and Chief Executive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936" w:right="35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Exhibit 31.2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Debra McCann,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Unisys Corporation;</w:t>
      </w:r>
    </w:p>
    <w:p>
      <w:pPr>
        <w:spacing w:after="0" w:line="225"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2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63"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10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Debra McCann</w:t>
            </w:r>
          </w:p>
        </w:tc>
        <w:tc>
          <w:tcPr>
            <w:tcW w:w="0" w:type="dxa"/>
            <w:vAlign w:val="bottom"/>
          </w:tcPr>
          <w:p>
            <w:pPr>
              <w:spacing w:after="0"/>
              <w:rPr>
                <w:sz w:val="1"/>
                <w:szCs w:val="1"/>
                <w:color w:val="auto"/>
              </w:rPr>
            </w:pPr>
          </w:p>
        </w:tc>
      </w:tr>
      <w:tr>
        <w:trPr>
          <w:trHeight w:val="222"/>
        </w:trPr>
        <w:tc>
          <w:tcPr>
            <w:tcW w:w="1040" w:type="dxa"/>
            <w:vAlign w:val="bottom"/>
            <w:vMerge w:val="continue"/>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Debra McCann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5" w:right="35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Exhibit 32.1</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PERIODIC REPORT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A. Altabef, Chair and Chief Executive Officer of Unisys Corporation (the “Company”), certify, pursuant to Section 906 of the Sarbanes-Oxley Act of 2002, 18 U.S.C. Section 1350, that:</w:t>
      </w:r>
    </w:p>
    <w:p>
      <w:pPr>
        <w:spacing w:after="0" w:line="170" w:lineRule="exact"/>
        <w:rPr>
          <w:sz w:val="20"/>
          <w:szCs w:val="20"/>
          <w:color w:val="auto"/>
        </w:rPr>
      </w:pPr>
    </w:p>
    <w:p>
      <w:pPr>
        <w:ind w:right="10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2022 (the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right="500" w:firstLine="8"/>
        <w:spacing w:after="0" w:line="52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2022</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97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Peter A. Altabef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40"/>
          </w:cols>
          <w:pgMar w:left="320" w:top="895" w:right="4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Exhibit 32.2</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CERTIFICATION OF PERIODIC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Debra McCann, Executive Vice President and Chief Financial Officer of Unisys Corporation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11" w:lineRule="exact"/>
        <w:rPr>
          <w:sz w:val="20"/>
          <w:szCs w:val="20"/>
          <w:color w:val="auto"/>
        </w:rPr>
      </w:pPr>
    </w:p>
    <w:p>
      <w:pPr>
        <w:ind w:right="6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2022 (the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right="460" w:firstLine="8"/>
        <w:spacing w:after="0" w:line="52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2022</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80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Debra McCann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100"/>
      </w:cols>
      <w:pgMar w:left="320" w:top="89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7" Type="http://schemas.openxmlformats.org/officeDocument/2006/relationships/hyperlink" Target="http://www.sec.gov/Archives/edgar/data/746838/000074683810000112/ex3restate.txt" TargetMode="External"/><Relationship Id="rId58" Type="http://schemas.openxmlformats.org/officeDocument/2006/relationships/hyperlink" Target="http://www.sec.gov/Archives/edgar/data/746838/000074683811000116/ex3-1chartamend.txt" TargetMode="External"/><Relationship Id="rId59" Type="http://schemas.openxmlformats.org/officeDocument/2006/relationships/hyperlink" Target="http://www.sec.gov/Archives/edgar/data/746838/000074683817000025/a20170428-exhibit31.htm" TargetMode="External"/><Relationship Id="rId60" Type="http://schemas.openxmlformats.org/officeDocument/2006/relationships/hyperlink" Target="http://www.sec.gov/Archives/edgar/data/746838/000074683819000070/ex31bylawsofunisyscorpor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2022-08-03T15:39:04Z</dcterms:created>
  <dcterms:modified xsi:type="dcterms:W3CDTF">2022-08-03T15:39:04Z</dcterms:modified>
</cp:coreProperties>
</file>